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889A" w14:textId="77777777" w:rsidR="00CD709C" w:rsidRDefault="000A3E07">
      <w:pPr>
        <w:ind w:left="4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</w:t>
      </w:r>
    </w:p>
    <w:p w14:paraId="2D8D406E" w14:textId="77777777" w:rsidR="00CD709C" w:rsidRDefault="000A3E07">
      <w:pPr>
        <w:ind w:left="4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Протоколу заседания</w:t>
      </w:r>
    </w:p>
    <w:p w14:paraId="1EED968D" w14:textId="77777777" w:rsidR="00CD709C" w:rsidRDefault="000A3E07">
      <w:pPr>
        <w:ind w:left="4112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Наблюдательного совета</w:t>
      </w:r>
    </w:p>
    <w:p w14:paraId="1BB569DB" w14:textId="77777777" w:rsidR="00CD709C" w:rsidRDefault="000A3E07">
      <w:pPr>
        <w:spacing w:after="480"/>
        <w:ind w:left="4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Фонда развития промышленности Иркутской области от 30.04.2020 № 22</w:t>
      </w:r>
    </w:p>
    <w:p w14:paraId="19AAA6BD" w14:textId="77777777" w:rsidR="00CD709C" w:rsidRDefault="000A3E07">
      <w:pPr>
        <w:spacing w:after="1120"/>
        <w:ind w:left="4860" w:hanging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 Наблюдательным советом Фонда развития промышленности Иркутской области «30» апреля 2020 г. Протокол № 22</w:t>
      </w:r>
    </w:p>
    <w:p w14:paraId="42CB72A2" w14:textId="77777777" w:rsidR="00CD709C" w:rsidRDefault="000A3E07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</w:p>
    <w:p w14:paraId="11F97FC1" w14:textId="77777777" w:rsidR="00CD709C" w:rsidRDefault="000A3E07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Фонда развития промышленности Иркутской области</w:t>
      </w:r>
    </w:p>
    <w:p w14:paraId="2BA6CCDB" w14:textId="77777777" w:rsidR="00CD709C" w:rsidRDefault="000A3E07">
      <w:pPr>
        <w:spacing w:after="6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отбора проектов в целях возмещения (компенсации) части затрат в рамках региональной программы                                 «Проекты импортозамещения региона»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504B68" w14:textId="77777777" w:rsidR="00DD23ED" w:rsidRDefault="00DD23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D5391" w14:textId="77777777" w:rsidR="00DD23ED" w:rsidRDefault="00DD23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7ECBDF" w14:textId="77777777" w:rsidR="00DD23ED" w:rsidRDefault="00DD23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372E87" w14:textId="3B150996" w:rsidR="00CD709C" w:rsidRDefault="000A3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</w:p>
    <w:p w14:paraId="1600CCFC" w14:textId="77777777" w:rsidR="00CD709C" w:rsidRDefault="00CD70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C48E27" w14:textId="77777777" w:rsidR="00CD709C" w:rsidRDefault="00CD70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8E4743" w14:textId="77777777" w:rsidR="00BA17B2" w:rsidRDefault="00BA17B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087B2" w14:textId="77777777" w:rsidR="00AA3A02" w:rsidRDefault="00DD23ED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 w14:anchorId="6159B62A">
          <v:rect id="Прямоугольник 1" o:spid="_x0000_s1026" style="position:absolute;left:0;text-align:left;margin-left:482.95pt;margin-top:22.4pt;width:6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" fillcolor="white [3212]" strokecolor="white [3212]" strokeweight="1pt"/>
        </w:pict>
      </w:r>
    </w:p>
    <w:p w14:paraId="1F726D8A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E1119E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D7CA3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Оглавление:</w:t>
      </w:r>
    </w:p>
    <w:p w14:paraId="3F5379CB" w14:textId="77777777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Введение ………………………………………………………………………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</w:p>
    <w:p w14:paraId="00742EE7" w14:textId="573147D1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2.Основные термины или определения ………………………………………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r w:rsidR="00AE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0437F258" w14:textId="189D0B39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3.Основные  условия региональной программы  Фонда «Проекты импортозамещения региона» …………………………………………………...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......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14:paraId="7158C3B4" w14:textId="77777777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Основные требования к Заявителю …………………………………………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14:paraId="7558BC64" w14:textId="4641B135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Ограничения выплаты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Компенсации  процентов по кредитам Заявителя…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14:paraId="68404DC6" w14:textId="77777777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Перечень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требуемых  для получения Компенсации 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…...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14:paraId="05F4921B" w14:textId="77777777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Порядок и сроки предоставления документов в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Фонд,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требуемых для предоставления Компенсации …………………………………………………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14:paraId="1295BBE0" w14:textId="77777777" w:rsid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Экспертиза документов ………………………………………………………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  <w:r w:rsidR="00DA048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14:paraId="15553E58" w14:textId="21A1EAD3" w:rsidR="00DA048B" w:rsidRDefault="00DA048B" w:rsidP="00AE5035">
      <w:pPr>
        <w:tabs>
          <w:tab w:val="left" w:pos="921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Принятие решения  о предоставлении  Компенсации ……………………</w:t>
      </w:r>
      <w:r w:rsidR="0079617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…1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024571C4" w14:textId="77777777" w:rsidR="00DA048B" w:rsidRDefault="00DA048B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Заключение 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соглашения  о  предоставлении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Компенсации.   Выплата компенсации………………………………………………………………………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14:paraId="3D2A1DBB" w14:textId="3EFB8E29" w:rsidR="00DA048B" w:rsidRDefault="00DA048B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Перечень 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>отраслевых направлений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 в рамках которых  возможно получение Компенсации процентов по Кредитам по региональной программе Фонда «Проекты импортозамещения региона» ……………………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 xml:space="preserve">..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14:paraId="13C36B40" w14:textId="2FB74275" w:rsidR="00DA048B" w:rsidRDefault="00DA048B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12.Приложение №2 Заявление на предоставление возмещения ( компенсации) части затрат в рамках региональной  программы «Проекты импортозамещения региона» ……………………………………………………………………………</w:t>
      </w:r>
      <w:r w:rsidR="00187F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14:paraId="62DC1D06" w14:textId="00FE1D50" w:rsidR="00DA048B" w:rsidRDefault="00DA048B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 Приложение  №3 Соглашение</w:t>
      </w:r>
      <w:r w:rsidR="00DD23ED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…………………………………………………. 21</w:t>
      </w:r>
    </w:p>
    <w:p w14:paraId="31524A98" w14:textId="77777777" w:rsidR="00DA048B" w:rsidRDefault="00DA048B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0473C6" w14:textId="77777777" w:rsidR="00AA3A02" w:rsidRPr="00AA3A02" w:rsidRDefault="00AA3A02" w:rsidP="00AA3A0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DA4280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624F5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4999B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5978A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366DE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E3567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399B1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0BFD02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60A2B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108A9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60A99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3142D5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DC882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208FA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F5249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490D5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5452C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B8452" w14:textId="77777777" w:rsidR="00AE5035" w:rsidRDefault="00AE5035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027BD" w14:textId="77777777" w:rsidR="00AE5035" w:rsidRDefault="00AE5035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1515B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AE5C6" w14:textId="77777777" w:rsidR="00AA3A02" w:rsidRDefault="00AA3A0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DD557" w14:textId="77777777" w:rsidR="00AA3A02" w:rsidRDefault="00AA3A02" w:rsidP="00DA048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E408C" w14:textId="77777777" w:rsidR="00CD709C" w:rsidRPr="00BA17B2" w:rsidRDefault="00BA17B2" w:rsidP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A3E07" w:rsidRPr="00BA17B2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041F21D1" w14:textId="77777777" w:rsidR="00BA17B2" w:rsidRDefault="00BA1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0F21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Настоящий Стандарт Фонда развития промышленности Иркутской области (далее по тексту – Фонд) «Условия и порядок отбора проектов в целях возмещения (компенсации) части затрат в рамках региональной программы «Проекты импортозамещения региона» (далее по тексту – Стандарт, Программа), основные условия которой утверждены 11 декабря 2019 года Протоколом № 21 заседания Наблюдательного совета Фонда, определяет условия и порядок  финансовой поддержки проектов в рамках Программы - общие требования и критерии, являющиеся основаниями для отбора проектов, требования к заявителю, перечень необходимых документов и требования к их подготовке и представлению в Фонд, порядок рассмотрения документов Фондом, требования к условиям конкурса и подведению его итогов, порядок утверждения и выплаты компенсации процентов по кредитам, основания для отказа, информацию об уполномоченном органе, который будет рассматривать поступившие заявления и утверждать итоги конкурса, а также перечень отраслевых направлений, в рамках которых требуется обеспечить рост выпуска и реализации промышленной продукции в целях возмещения (компенсации) процентов по кредитам.</w:t>
      </w:r>
    </w:p>
    <w:p w14:paraId="5733574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Возмещение (Компенсация) части затрат в рамках Программы осуществляется Фондом в соответствии со следующими условиями:</w:t>
      </w:r>
    </w:p>
    <w:p w14:paraId="67A84E94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соответствие Проекта условиям выплаты возмещения (компенсации) части затрат;</w:t>
      </w:r>
    </w:p>
    <w:p w14:paraId="3EDB7369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соответствие Проекта критериям отбора проектов;</w:t>
      </w:r>
    </w:p>
    <w:p w14:paraId="03E74F5A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соответствие Заявителя требованиям, предъявляемым настоящим Стандартом к Субъектам деятельности в сфере промышленности Иркутской области, имеющим право на получение возмещения (компенсации) части затрат;</w:t>
      </w:r>
    </w:p>
    <w:p w14:paraId="5BDBD8C1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выполнение Заявителем требований порядка и сроков подготовки и представления документов в Фонд, определенных настоящим Стандартом;</w:t>
      </w:r>
    </w:p>
    <w:p w14:paraId="1C1752A3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соответствие выпускаемой по Проекту промышленной продукции перечню отраслевых направлений, определенных настоящим Стандартом.</w:t>
      </w:r>
    </w:p>
    <w:p w14:paraId="45C9E79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Проведение экспертизы Проекта (рассмотрение пакета документов по поступившим заявлениям) представляет собой процесс его анализа и отбора на соответствие требованиям, установленным настоящим Стандартом, в целях включения/не включения данного проекта в перечень проектов, которые могут принимать участие в конкурсе на получение возмещения (компенсации) части затрат.</w:t>
      </w:r>
    </w:p>
    <w:p w14:paraId="6DC77F4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Подведение итогов конкурса – процесс принятия решения уполномоченным органом Фонда:</w:t>
      </w:r>
    </w:p>
    <w:p w14:paraId="196A895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утверждении перечня проектов, прошедших конкурсный отбор за соответствующий отчетный период (календарный год);</w:t>
      </w:r>
    </w:p>
    <w:p w14:paraId="272340BF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утверждении суммы фактического возмещения (компенсации), подлежащего выплате Заявителю по итогам конкурсного отбора за соответствующий отчетный период (календарный год).</w:t>
      </w:r>
    </w:p>
    <w:p w14:paraId="0E77A214" w14:textId="77777777" w:rsidR="00CD709C" w:rsidRDefault="00CD70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17FB5" w14:textId="77777777" w:rsidR="00CD709C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CFD33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Основные термины и определения</w:t>
      </w:r>
    </w:p>
    <w:p w14:paraId="0EEA5B15" w14:textId="77777777" w:rsidR="00BA17B2" w:rsidRDefault="00BA17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4E80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Бенефициарный владелец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которое, в конечном счете,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6A36459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признаваемые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таковыми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</w:p>
    <w:p w14:paraId="3F194F2F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или в силу экономического влияния.</w:t>
      </w:r>
    </w:p>
    <w:p w14:paraId="48FF8BE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0EA7D260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Кредит </w:t>
      </w:r>
      <w:r>
        <w:rPr>
          <w:rFonts w:ascii="Times New Roman" w:eastAsia="Times New Roman" w:hAnsi="Times New Roman" w:cs="Times New Roman"/>
          <w:sz w:val="28"/>
          <w:szCs w:val="28"/>
        </w:rPr>
        <w:t>- инвестиционный кредит и/или заем, полученный Заявителем в целях финансирования Проекта/Проектов в соответствии с заключенным с кредитной организацией/институтом развития кредитным договором.</w:t>
      </w:r>
    </w:p>
    <w:p w14:paraId="573E671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Заявитель, Заемщик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российский субъект деятельности в сфере промышленности или обособленное подразделение, зарегистрированное и осуществляющее свою деятельность на территории Иркутской области в соответствии с законодательством Российской Федерации, производящий начисление и уплату налогов в бюджет Иркутской области и предоставивший документы в Фонд для участия в отборе на получение Компенсации.</w:t>
      </w:r>
    </w:p>
    <w:p w14:paraId="1005E2BB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Возмещение (Компенсация) процентов по кредитам, </w:t>
      </w:r>
      <w:r>
        <w:rPr>
          <w:rFonts w:ascii="Times New Roman" w:eastAsia="Times New Roman" w:hAnsi="Times New Roman" w:cs="Times New Roman"/>
          <w:sz w:val="28"/>
          <w:szCs w:val="28"/>
        </w:rPr>
        <w:t>– денежная сумма, определяемая в соответствии с Основными условиями Программы и утверждаемая уполномоченным органом Фонда по итогам конкурсного отбора Проектов, подлежащая выплате Заявителю в порядке, определенном настоящим Стандартом (далее по тексту - Компенсация).</w:t>
      </w:r>
    </w:p>
    <w:p w14:paraId="4CD7DFB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Критические замечания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недостатки или нарушения, выявленные Менеджером проекта в ходе экспертизы представленных в Фонд Заявителем пакета документов по Проекту, которые не являются безусловным препятствием в выплате Компенсации, но могут послужить основанием для принятия Уполномоченным органом Фонда решения об отказе в выплате Компенсации.</w:t>
      </w:r>
    </w:p>
    <w:p w14:paraId="10AD9F9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Менеджер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назначенный уполномоченным должностным лицом сотрудник Фонда, выполняющий функции взаимодействия с Заявителем по вопросам консультационной поддержки по Программе, приема и рассмотрения документов, информирования о результатах рассмотрения документов и итогах конкурса, обеспечения выплаты Компенсаций в рамках настоящего Стандарта.</w:t>
      </w:r>
    </w:p>
    <w:p w14:paraId="6FD0E56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Отчетный период – </w:t>
      </w:r>
      <w:r>
        <w:rPr>
          <w:rFonts w:ascii="Times New Roman" w:eastAsia="Times New Roman" w:hAnsi="Times New Roman" w:cs="Times New Roman"/>
          <w:sz w:val="28"/>
          <w:szCs w:val="28"/>
        </w:rPr>
        <w:t>истекший полный календарный год.</w:t>
      </w:r>
    </w:p>
    <w:p w14:paraId="3BFCC5E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организационных, технических, финансовых, кадровых мероприятий, в результате которых создано новое предприятие/производство и/или проведена его модернизация, в целях создания и/или развития в Иркутской области промышленных производств, необходимых для замещения ввоза продукции из других регионов Российской Федерации и импортозамещения.</w:t>
      </w:r>
    </w:p>
    <w:p w14:paraId="6B411EEF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Проценты по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фактических процентных расходов Заявителя в Отчетном периоде, вытекающих из условий кредитных договоров, действовавших в течение Отчетного периода, предметом которых является предоставление денежных средств на реализацию конкретного инвестиционного Проекта, определяемого таковым на условиях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Стандарта.</w:t>
      </w:r>
    </w:p>
    <w:p w14:paraId="3C4CA5D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Сайт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www.frpirk.ru.</w:t>
      </w:r>
    </w:p>
    <w:p w14:paraId="638416FA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Средневзвешенная сумма задолженности по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базовая величина, которая участвует в определении суммы компенсации процентов по кредитам, и рассчитывается как сумма ежедневных остатков задолженности Заявителя по всем Кредитам на начало каждого календарного дня в Отчетном периоде, деленная на количество календарных дней в Отчетном периоде.</w:t>
      </w:r>
    </w:p>
    <w:p w14:paraId="5D72732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Субъект деятельности в сфере промышленности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российское юридическое лицо или обособленное подразделение, зарегистрированное и осуществляющее деятельность в сфере промышленности на территории Иркутской области, производящее начисление и уплату налогов в бюджет Иркутской области.</w:t>
      </w:r>
    </w:p>
    <w:p w14:paraId="0AB85C1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Технологическое перевооружение и модернизация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комплекс мероприятий по повышению технологического и/или технико-экономического уровня отдельных производств, цехов и участков,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14:paraId="5DB1855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>- высший коллегиальный орган Фонда, к исключительной, компетенции которого относится принятие решения о предоставлении Компенсации так и принятие решения об отказе в предоставлении Компенсации</w:t>
      </w:r>
      <w:r w:rsidR="006802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наличия\отсутствия критических замечаний. В целях настоящего Стандарта функции Уполномоченного органа Фонда выполняет Наблюдательный совет Фонда.</w:t>
      </w:r>
    </w:p>
    <w:p w14:paraId="7E545FA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Фонд развития промышленности Иркутской области.</w:t>
      </w:r>
    </w:p>
    <w:p w14:paraId="05E63A60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Основные условия региональной программы Фонда</w:t>
      </w:r>
    </w:p>
    <w:p w14:paraId="6C5A2B0C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«Проекты импортозамещения региона»</w:t>
      </w:r>
    </w:p>
    <w:p w14:paraId="5A3251B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соответствии с Программой производится Компенсация части затрат Заявителя на реализацию инвестиционных проектов в целях создания и/или развития в Иркутской области промышленных производств, необходимых для замещения ввоза продукции из других регионов Российской Федерации и импортозамещения, по уплате Процентов по кредитам, полученным в российских кредитных организациях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, Корпорации МСП, государственной корпорации развития «ВЭБ.РФ»</w:t>
      </w:r>
      <w:r w:rsidR="00F83BA9">
        <w:rPr>
          <w:rFonts w:ascii="Times New Roman" w:eastAsia="Times New Roman" w:hAnsi="Times New Roman" w:cs="Times New Roman"/>
          <w:sz w:val="28"/>
          <w:szCs w:val="28"/>
        </w:rPr>
        <w:t>, АО «Корпорация развития Иркутской области» и Фонде микрокредитования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591C0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Компенсация процентов по Кредитам Заявителя на реализацию Проектов осуществляется для промышленных предприятий Иркутской области, ведущих деятельность в отраслях и обеспечивающих выпуск продукции, указанной в приложении к настоящему документу.</w:t>
      </w:r>
    </w:p>
    <w:p w14:paraId="54655C6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рамках Программы осуществляется Компенсация процентов по Кредитам Заявителя на реализацию Проектов в соответствии со следующими условиями:</w:t>
      </w:r>
    </w:p>
    <w:p w14:paraId="4F96933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Целевое использование Кредитов, по которым компенсируются расходы на уплату процентов – инвестиционные нужды;</w:t>
      </w:r>
    </w:p>
    <w:p w14:paraId="5E9B715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Отчетный период, за который компенсируются расходы на уплату процентов по кредитам – истёкший календарный год;</w:t>
      </w:r>
    </w:p>
    <w:p w14:paraId="0C58CD5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Максимальная средневзвешенная сумма задолженности по Кредитам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одного Заявителя за Отчетный период, по которой может быть рассчитана и выплачена Компенсация – 20.000.000 (Двадцать миллионов) рублей;</w:t>
      </w:r>
    </w:p>
    <w:p w14:paraId="45CA19D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Сумма процентов по Кредитам, подлежащая компенсации – сумма части фактически понесенных затрат на уплату процентов по Кредитам за Отчетный период из расчета 4 (Четыре) процента годовых, но не выше фактической процентной ставки по кредитному договору. Максимальная сумма Компенсации процентов по Кредитам, которая может быть утверждена и выплачена одному Заявителю за один Отчетный период – 800.000 (Восемьсот тысяч) рублей;</w:t>
      </w:r>
    </w:p>
    <w:p w14:paraId="754DE60E" w14:textId="741955B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69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="00C16C47" w:rsidRPr="00971269">
        <w:rPr>
          <w:rFonts w:ascii="Times New Roman" w:eastAsia="Times New Roman" w:hAnsi="Times New Roman" w:cs="Times New Roman"/>
          <w:sz w:val="28"/>
          <w:szCs w:val="28"/>
        </w:rPr>
        <w:t xml:space="preserve">Дата подачи заявлений и документов на предоставление Компенсации процентов по Кредитам (далее – Заявления) определяется решением Наблюдательного совета Фонда. </w:t>
      </w:r>
      <w:r w:rsidR="00FC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C47" w:rsidRPr="00971269">
        <w:rPr>
          <w:rFonts w:ascii="Times New Roman" w:eastAsia="Times New Roman" w:hAnsi="Times New Roman" w:cs="Times New Roman"/>
          <w:sz w:val="28"/>
          <w:szCs w:val="28"/>
        </w:rPr>
        <w:t xml:space="preserve">Период подачи Заявлений - в течение </w:t>
      </w:r>
      <w:r w:rsidR="00FC697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C16C47" w:rsidRPr="00971269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даты, установленной Наблюдательным советом Фонда;</w:t>
      </w:r>
    </w:p>
    <w:p w14:paraId="487F9395" w14:textId="53D0967F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 Период рассмотрения Заявлений (экспертиза документов) на предоставление Компенсации процентов по Кредитам –</w:t>
      </w:r>
      <w:r w:rsidR="00FC6978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календарных дней по истечении периода подачи заявлений и документов, согласно п. 3.3.5 настоящего Стандарта.</w:t>
      </w:r>
    </w:p>
    <w:p w14:paraId="614D9591" w14:textId="55D3E791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 Период принятия решения о предоставлении Компенсации /отказе в предоставлении Компенсации -</w:t>
      </w:r>
      <w:r w:rsidR="00FC697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календарных дней по истечении периода рассмотрения Заявлений, согласно п. 3.3.6. настоящего Стандарта.</w:t>
      </w:r>
    </w:p>
    <w:p w14:paraId="786FBEBA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3.3.8. Период заключения Соглашения о предоставлении Компенсации и фактической выплаты Компенсации процентов по кредитам – 30 дней с момента принятия решения согласно п. 3.3.7. настоящего Стандарта.</w:t>
      </w:r>
    </w:p>
    <w:p w14:paraId="71F4EAB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3.3.9. Результатом реализации Проекта на дату подачи Заявления должен являться рост объемов выпуска и реализации промышленной продукции, предусмотренной в Приложении к настоящему Порядку.</w:t>
      </w:r>
    </w:p>
    <w:p w14:paraId="5BDD6624" w14:textId="77777777" w:rsidR="00CD709C" w:rsidRPr="00E26F92" w:rsidRDefault="00CD709C">
      <w:pPr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57A45010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Основные требования к Заявителю</w:t>
      </w:r>
    </w:p>
    <w:p w14:paraId="55A05F9C" w14:textId="77777777" w:rsidR="002A0644" w:rsidRPr="00E26F92" w:rsidRDefault="002A0644">
      <w:pPr>
        <w:jc w:val="center"/>
        <w:rPr>
          <w:rFonts w:ascii="Times New Roman" w:eastAsia="Times New Roman" w:hAnsi="Times New Roman" w:cs="Times New Roman"/>
          <w:b/>
          <w:sz w:val="4"/>
          <w:szCs w:val="28"/>
        </w:rPr>
      </w:pPr>
    </w:p>
    <w:p w14:paraId="0480CFC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Заявителями на получение  Компенсации процентов по Кредитам могут выступать любые юридические лица или индивидуальные предприниматели (за исключением государственных (муниципальных) учреждений, государственных (муниципальных) унитарных предприятий и юридических лиц, 100 процентов акций (долей) которых принадлежит Российской Федерации, субъекту Российской Федерации, муниципальному образованию), являющиеся субъектами деятельности в сфере промышленности, осуществляющие деятельность на территории Иркутской области, получение кредитов для которого не запрещено действующим законодательством или уставом заявителя;</w:t>
      </w:r>
    </w:p>
    <w:p w14:paraId="5CB07CB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Выручка от реализации продукции Заявителя по отраслевым направлениям, указанным в Приложении №1, за Отчетный период составляет не менее 70% совокупной выручки Заявителя;</w:t>
      </w:r>
    </w:p>
    <w:p w14:paraId="79ACFD0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Заявитель не является иностранным и российским юридическим лицом, указанным в пункте 15 статьи 241 Бюджетного кодекса Российской Федерации, на дату подачи Заявления;</w:t>
      </w:r>
    </w:p>
    <w:p w14:paraId="7C74B8A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Заявитель имеет положительную кредитную историю;</w:t>
      </w:r>
    </w:p>
    <w:p w14:paraId="24DC01AF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Заявитель не имеет просроченной задолженности перед работниками по заработной плате;   </w:t>
      </w:r>
    </w:p>
    <w:p w14:paraId="2739608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Наличие информации о Заявителе и производимой им продукции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информационной системе промышленности (www.gisp.gov.ru).</w:t>
      </w:r>
    </w:p>
    <w:p w14:paraId="5F38FF9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Заявитель в течение 3 последних лет не находился в процессе реорганизации (за исключением реорганизации в форме преобразования, слияния или присоединения), ликвидации или банкротства;</w:t>
      </w:r>
    </w:p>
    <w:p w14:paraId="28B2614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подается Заявление, что подтверждается справкой из налогового органа;</w:t>
      </w:r>
    </w:p>
    <w:p w14:paraId="5E4AD2AF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подается Заявление;</w:t>
      </w:r>
    </w:p>
    <w:p w14:paraId="7781610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У Заявителя отсутствует просроченная (неурегулированная) задолженность по денежным обязательствам перед Иркутской областью на первое число месяца, в котором подается Заявление;</w:t>
      </w:r>
    </w:p>
    <w:p w14:paraId="397376F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В отношении Заявителя отсутствует факт получения средств из областного бюджета на основании иных нормативных правовых актов на цели Программы на первое число месяца, в котором подается Заявление;</w:t>
      </w:r>
    </w:p>
    <w:p w14:paraId="1DA8020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У заявителя имеются необходимые лицензии для производства продукции, указанной в Проекте (в части видов продукции, для которых обязательно получение лицензии).</w:t>
      </w:r>
    </w:p>
    <w:p w14:paraId="5161A825" w14:textId="77777777" w:rsidR="00CD709C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C6DBB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Ограничения выплаты Компенсации процентов по кредитам Заявителя</w:t>
      </w:r>
    </w:p>
    <w:p w14:paraId="028A740E" w14:textId="77777777" w:rsidR="002A0644" w:rsidRDefault="002A0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2FDC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Компенсация процентов по Кредитам не может быть выплачена Заявителю в следующих случаях:</w:t>
      </w:r>
    </w:p>
    <w:p w14:paraId="661D7F3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По инвестиционным кредитам Заявителя, не связанным с реализацией Проекта в целях выпуска промышленной продукции согласно Приложению 1 к настоящему Стандарту;</w:t>
      </w:r>
    </w:p>
    <w:p w14:paraId="14A6A1B3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 прочим привлеченным кредитным ресурсам Заявителя (в том числе на пополнение оборотных средств, на рефинансирование кредитов, по лизинговым и факторинговым сделкам, займам, долговым ценным бумагам и распискам);</w:t>
      </w:r>
    </w:p>
    <w:p w14:paraId="57960A6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случае нарушения Заявителем сроков подачи в Фонд Заявления и требуемых документов по кредитам Заявителя, необходимых для получения Компенсации;</w:t>
      </w:r>
    </w:p>
    <w:p w14:paraId="3219B1A3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 случае нарушения Заявителем требований к оформлению документов, представляемых Заявителем в Фонд в целях получения Компенсации;</w:t>
      </w:r>
    </w:p>
    <w:p w14:paraId="1EC0981A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В случае несоответствия Заявителя требованиям, предъявляемым к Заявителю;</w:t>
      </w:r>
    </w:p>
    <w:p w14:paraId="5D97E7C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В случае, когда в результате реализации Проекта Заявителя по итогам Отчетного периода отсутствует рост показателей объема выпуска и реализации промышленной продукции, предусмотренной в Приложении 1 к настоящему Стандарту, по сравнению с соответствующими показателями по итогам календарного года, предшествующего Отчетному периоду.</w:t>
      </w:r>
    </w:p>
    <w:p w14:paraId="27A377F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В случае представления Заявителем в Фонд недостоверной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в том числе согласно разделу 6 и п. 10.6. настоящего Стандарта.</w:t>
      </w:r>
    </w:p>
    <w:p w14:paraId="453DFAD3" w14:textId="77777777" w:rsidR="00CD709C" w:rsidRDefault="00CD70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C3E0D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Перечень документов, требуемых для получения Компенсации</w:t>
      </w:r>
    </w:p>
    <w:p w14:paraId="37756AEA" w14:textId="77777777" w:rsidR="00CD709C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365F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Компенсации Заявитель обязан представить в Фонд следующие документы:</w:t>
      </w:r>
    </w:p>
    <w:p w14:paraId="67BB1E6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Заявление на предоставление Компенсации по форме согласно приложению 2 к настоящему Стандарту (далее - Заявление), содержащее информацию:</w:t>
      </w:r>
    </w:p>
    <w:p w14:paraId="108A2A5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реализованном/реализуемом Проекте (общая стоимость Проекта, стоимость Проекта, профинансированного за счет Кредитов на конец Отчетного периода, вид экономической деятельности и наименование выпускаемой продукции в результате реализации Проекта, объем выпуска и реализации готовой продукции в результате реализации Проекта за Отчетный периоду и за календарный год, предшествующий Отчетному периоду);</w:t>
      </w:r>
    </w:p>
    <w:p w14:paraId="1F861130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Средневзвешенной сумме задолженности по Кредитам за Отчетный период;</w:t>
      </w:r>
    </w:p>
    <w:p w14:paraId="754E14E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сумме уплаченных процентов по Кредитам за Отчетный период;</w:t>
      </w:r>
    </w:p>
    <w:p w14:paraId="4F850A8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расчетной сумме компенсации части затрат Заявителя по уплате процентов по Кредитам (определяется согласно п. 3.3.4. настоящего Стандарта);</w:t>
      </w:r>
    </w:p>
    <w:p w14:paraId="3DF0EB6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соответствии Заявителя всем требованиям, указанным в разделе 4 настоящего Стандарта;</w:t>
      </w:r>
    </w:p>
    <w:p w14:paraId="5E82AD0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согласии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Компенсации,</w:t>
      </w:r>
    </w:p>
    <w:p w14:paraId="56348F4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Оригиналы доверенностей, подтверждающих полномочия лиц на подписание и заверение документов, представляемых в Фонд на предоставление Компенсации, а также на подписание соглашения о предоставлении Компенсации (в случае подписания соглашения лицом, не являющимся лицом, имеющим право действовать без доверенности);</w:t>
      </w:r>
    </w:p>
    <w:p w14:paraId="3969774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Копии учредительных документов, заверенные Заявителем;</w:t>
      </w:r>
    </w:p>
    <w:p w14:paraId="1E129D0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Копии кредитных договоров, заверенные Заявителем, предметом которых является получение Заявителем Кредитов в целях финансирования Проектов;</w:t>
      </w:r>
    </w:p>
    <w:p w14:paraId="4B1E665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Копии банковских платежных документов, заверенные Заявителем, подтверждающих фактическое зачисление денежных средств по полученным Кредитам на банковский счет Заявителя;</w:t>
      </w:r>
    </w:p>
    <w:p w14:paraId="6848E0CF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Копии банковских платежных документов, заверенные Заявителем, подтверждающих целевое использование полученных Кредитов Заявителя;</w:t>
      </w:r>
    </w:p>
    <w:p w14:paraId="4EE550CC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 Копии банковских выписок со ссудных счетов по обслуживанию Кредитов Заявителя за Отчетный период, заверенные российской кредитной организацией, Корпорацией МСП, государственной корпорацией развития «ВЭБ.РФ»,</w:t>
      </w:r>
      <w:r w:rsidR="002E674E">
        <w:rPr>
          <w:rFonts w:ascii="Times New Roman" w:eastAsia="Times New Roman" w:hAnsi="Times New Roman" w:cs="Times New Roman"/>
          <w:sz w:val="28"/>
          <w:szCs w:val="28"/>
        </w:rPr>
        <w:t xml:space="preserve"> АО «Корпорация развития Иркутской области», Фондом микрокредитования Иркутской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выдавшей Кредит. Выписка должна содержать данные о дате открытия ссудного счета, об остатке задолженности на ссудном счете на начало первого дня и на конец последнего дня Отчетного периода, о сумме и дате каждого изменения остатка по ссудному счету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Отчетного периода;</w:t>
      </w:r>
    </w:p>
    <w:p w14:paraId="4E5975A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Справки об уплате процентов по Кредитам за Отчетный период, заверенные российской кредитной организацией, Корпорацией МСП, государственной корпорацией развития «ВЭБ.РФ»,</w:t>
      </w:r>
      <w:r w:rsidR="002E674E" w:rsidRPr="002E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eastAsia="Times New Roman" w:hAnsi="Times New Roman" w:cs="Times New Roman"/>
          <w:sz w:val="28"/>
          <w:szCs w:val="28"/>
        </w:rPr>
        <w:t>АО «Корпорация развития Иркутской области», Фондом микрокредитования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выдавшей Кредит;</w:t>
      </w:r>
    </w:p>
    <w:p w14:paraId="590375D0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 Копия годовой бухгалтерской (финансовой) отчетности Заявителя с пояснительной запиской за Отчетный период, а также за календарный год, предшествующий Отчетному периоду, подписанная Заявителем, с отметкой налогового органа о ее принятии и заверенная руководителем и главным бухгалтером. При передаче отчетности в электронном виде по телекоммуникационным каналам связи предоставляется копия квитанции о приеме отчетности, формируемая налоговым органом;</w:t>
      </w:r>
    </w:p>
    <w:p w14:paraId="74CB86D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6.10. Оборотно-сальдовые ведомости Заявителя по счетам учета готовой продукции (по видам продукции) и по счетам реализации готовой продукции (по видам продукции) за Отчетный период, а также за календарный год, предшествующий Отчетному периоду, подписанные руководителем и главным бухгалтером Заявителя.</w:t>
      </w:r>
    </w:p>
    <w:p w14:paraId="3F012E50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6.11. 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закона от 27 июля 2006 года N 152-ФЗ "О персональных данных";</w:t>
      </w:r>
    </w:p>
    <w:p w14:paraId="2B5A9A1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6.12. Фотоматериалы, ссылки на видеоматериалы, размещенные в информационно-телекоммуникационной сети "Интернет", и иные справочные материалы о реализованном Проекте;</w:t>
      </w:r>
    </w:p>
    <w:p w14:paraId="4DD634D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6.13.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Заявитель представляет документы.</w:t>
      </w:r>
    </w:p>
    <w:p w14:paraId="2DB5860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6.14. Все документы, представляемые Заявителем в Фонд в целях получения Компенсации, должны соответствовать следующим требованиям:</w:t>
      </w:r>
    </w:p>
    <w:p w14:paraId="27E297C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 документов должны соответствовать оригинальным документам;</w:t>
      </w:r>
    </w:p>
    <w:p w14:paraId="3AE6593B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копии, предоставляемые на бумажном носителе, должны быть заверены уполномоченным должностным лицом Заявителя, прошиты и скреплены печатью;</w:t>
      </w:r>
    </w:p>
    <w:p w14:paraId="31FA0A6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и изображения должны быть разборчивы, не содержать исправлений и дефектов, не позволяющих однозначно трактовать содержание документов;</w:t>
      </w:r>
    </w:p>
    <w:p w14:paraId="606D95F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суммы денежных средств, указанные в документах, должны быть выражены в российских рублях. Суммы, выраженные в иностранной валюте (если это обосновано особенностями Проекта и вытекает из условий Кредитного договора), должны быть выражены также в рублевом эквиваленте, исходя из официального курса соответствующей иностранной валюты к рублю, установленного Банком России на соответствующую дату (или за соответствующий период).</w:t>
      </w:r>
    </w:p>
    <w:p w14:paraId="671FE7D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6.15. Заявитель гарантирует полноту и достоверность всей представленной в Фонд информации и несет ответственность за ее умышленное искажение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4E0D461E" w14:textId="77777777" w:rsidR="00CD709C" w:rsidRDefault="00CD709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7DD23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и сроки предоставления документов в Фонд, требуемых для предоставления Компенсации</w:t>
      </w:r>
    </w:p>
    <w:p w14:paraId="55FB8BAA" w14:textId="77777777" w:rsidR="00CD709C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9CDA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7.1. Документы, указанные в разделе 6 настоящего Стандарта, должны быть представлены Заявителем в Фонд на бумажном носителе </w:t>
      </w:r>
      <w:r w:rsidR="00AE503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в формате xlsx, docx, pdf, на усмотрение Заявителя, кроме документов, указанных в п. 6.2. настоящего Стандарта. Документы, указанные в п. 6.2. настоящего Стандарта, должны быть представлены в Фонд на бумажном носителе.</w:t>
      </w:r>
    </w:p>
    <w:p w14:paraId="14C351CB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случае предоставления документов в Фонд на бумажном носителе они должны быть переданы Заявителем Уполномоченному сотруднику Фонда, действующему на основании доверенности, выданной Директором Фонда, на право приема документов от Заявителей и регистрации Заявлений.</w:t>
      </w:r>
    </w:p>
    <w:p w14:paraId="24258F3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В случае предоставления документов в Фонд в электронном виде они должны быть направлены Заявителем по электронной почте на официальный электронный адрес Фонда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info@frpirk.ru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F4333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Заявитель вправе представлять в Фонд документы, а также вносить изменения в представленные в Фонд документы в течение всего срока представления документов, предусмотренного п.3.3.5. настоящего Стандарта. Заявления и/или документы, представленные Заявителем в Фонд в нарушение срока, установленного п.3.3.5. настоящего Стандарта, Фондом к рассмотрению в целях настоящего Стандарта не принимаются.</w:t>
      </w:r>
    </w:p>
    <w:p w14:paraId="665D464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Заявитель вправе отозвать представленные документы. Документы, представленные в Фонд и отозванные Заявителем, остаются без рассмотрения, при этом Заявителю не возвращаются.</w:t>
      </w:r>
    </w:p>
    <w:p w14:paraId="235D08D3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Уполномоченный сотрудник Фонда обязан в срок не позднее трех рабочих дней после дня предоставления со стороны Заявителя всех документов, указанных в разделе 6 настоящего Стандарта, с соблюдением со стороны Заявителя требований к порядку предоставления документов в Фонд, указанных в пп. 3.3.5. и 7.1.-7.3. настоящего Стандарта, зарегистрировать соответствующее Заявление с проставлением текущей даты и номера входящего документа Фонда, о чем известить Заявителя по электронной почте указанной в Заявлении. При этом датой принятия Фондом документов Заявителя в целях настоящего Стандарта считается дата регистрации соответствующего Заявления.</w:t>
      </w:r>
    </w:p>
    <w:p w14:paraId="43285EF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Уполномоченный сотрудник Фонда на регулярной основе ведет реестр всех поступивших Заявлений и документов от Заявителей, и еженедельно, в первый рабочий день каждой недели информирует любым доступным способом (по телефону или по электронной почте) каждого Заявителя о перечне недостающих документов, указанных в разделе 6 настоящего Стандарта, а также о наличии нарушений со стороны Заявителя требований к порядку предоставления документов в Фонд, указанных в пп. 7.1.-7.3. настоящего Стандарта.</w:t>
      </w:r>
    </w:p>
    <w:p w14:paraId="7ED11607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7.8. Расходы, связанные с подготовкой и представлением в Фонд документов, несет Заявитель.</w:t>
      </w:r>
    </w:p>
    <w:p w14:paraId="36470FF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7.9. В целях качественной и своевременной подготовки и представления в Фонд Заявления и документов на предоставление Компенсации потенциальный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обратиться Фонд за консультационно-информационной и методической поддержкой. Консультационная поддержка оказывается Менеджером проекта, уполномоченным на проведение экспертизы согласно п. 8.3. настоящего Стандарта, только в течение срока представления документов, предусмотренного п. 3.3.5. настоящего Стандарта.</w:t>
      </w:r>
    </w:p>
    <w:p w14:paraId="5F3D4A1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 Уполномоченный сотрудник Фонда, по окончании срока представления документов, предусмотренного п.3.3.5. настоящего Стандарта, но не позднее трех рабочих дней после его завершения, издает приказ по Фонду за подписью Директора Фонда:</w:t>
      </w:r>
    </w:p>
    <w:p w14:paraId="4D4FD40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окончании срока представления Заявителями документов в Фонд, требуемых для предоставления Компенсации,</w:t>
      </w:r>
    </w:p>
    <w:p w14:paraId="0A87016B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начале периода рассмотрения (экспертизы) документов.</w:t>
      </w:r>
    </w:p>
    <w:p w14:paraId="784E21A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данному приказу прилагается реестр всех принятых от Заявителей документов, согласно которому документы передаются на рассмотрение (экспертизу) Менеджеру проектов Фонда.</w:t>
      </w:r>
    </w:p>
    <w:p w14:paraId="686E4EA6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ACC12B0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Экспертиза документов</w:t>
      </w:r>
    </w:p>
    <w:p w14:paraId="31F5E8B8" w14:textId="77777777" w:rsidR="00CD709C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D9B35" w14:textId="77777777" w:rsidR="00662621" w:rsidRDefault="000A3E07" w:rsidP="00662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Процесс экспертизы Заявления с прилагаемыми документами начинается после получения заявочного комплекта на получение компенсации и завершается вынесением Заявления на рассмотрение Наблюдательным советом Фонда.</w:t>
      </w:r>
    </w:p>
    <w:p w14:paraId="53681B37" w14:textId="77777777" w:rsidR="00662621" w:rsidRDefault="000A3E07" w:rsidP="00662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Экспертиза документов включает в себя </w:t>
      </w:r>
      <w:r w:rsidR="00FE0FC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равовую и </w:t>
      </w:r>
      <w:r w:rsidR="00FE0FC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инансово- хозяйственную экспертизы.</w:t>
      </w:r>
    </w:p>
    <w:p w14:paraId="5BE8FA73" w14:textId="77777777" w:rsidR="00662621" w:rsidRDefault="000A3E07" w:rsidP="00662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Правовая экспертиза осуществляется начальником юридического отдела Фонда или иным уполномоченным лицом в течение первых 30 календарных дней, начиная с даты согласно п. 3.3.6. настоящего Стандарта. Результаты правовой экспертизы в форме заключения представляются Менеджеру проекта, ответственному за подготовку мотивированного суждения.</w:t>
      </w:r>
    </w:p>
    <w:p w14:paraId="13DCF615" w14:textId="77777777" w:rsidR="00CD709C" w:rsidRDefault="000A3E07" w:rsidP="006626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 Финансово - хозяйственная экспертиза документов осуществляется Менеджером проекта, уполномоченным Директором Фонда на проведение экспертизы документов по Программе в целях подготовки мотивированного суждения о возможности предоставления Компенсации.</w:t>
      </w:r>
    </w:p>
    <w:p w14:paraId="1ED9311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Результатом экспертизы является мотивированное суждение Менеджера проекта о возможности предоставления Компенсации Заявителю в сумме, указанной в Заявлении. Мотивированное суждение включает результаты Правовой и Финансово-хозяйственной экспертизы. Мотивированное суждение может содержать Критические замечания.</w:t>
      </w:r>
    </w:p>
    <w:p w14:paraId="0D3DE2D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В целях получения разъяснений и дополнительной информации, необходимой для вынесения Фондом мотивированного суждения о возможности предоставления Компенсации, Менеджер проекта вправе запрашивать у Заявителя любую дополнительную информацию о Проекте, а также проводить встречи с ним. </w:t>
      </w:r>
    </w:p>
    <w:p w14:paraId="1A33A8D3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Все уведомления и запросы (кроме случаев, когда в настоящем Стандарте указан иной способ коммуникации) направляются Фондом Заявителю на официальный адрес электронной почты, который указан в Заявлении, в срок не позднее </w:t>
      </w:r>
      <w:r w:rsidR="00F854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85470">
        <w:rPr>
          <w:rFonts w:ascii="Times New Roman" w:eastAsia="Times New Roman" w:hAnsi="Times New Roman" w:cs="Times New Roman"/>
          <w:sz w:val="28"/>
          <w:szCs w:val="28"/>
        </w:rPr>
        <w:t>календарных дней, начиная с даты согласно п. 3.3.6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4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Стандарта.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ответы на запросы Фонда Заявитель должен представить в Фонд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той форме и по тем каналам коммуникаций, которые указаны в запросе Фонда, в срок не позднее </w:t>
      </w:r>
      <w:r w:rsidR="00F85470">
        <w:rPr>
          <w:rFonts w:ascii="Times New Roman" w:eastAsia="Times New Roman" w:hAnsi="Times New Roman" w:cs="Times New Roman"/>
          <w:sz w:val="28"/>
          <w:szCs w:val="28"/>
        </w:rPr>
        <w:t>40 календарных дней, начиная с даты согласно п. 3.3.6. настоящего Стандарта.</w:t>
      </w:r>
    </w:p>
    <w:p w14:paraId="4AE056E8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 Мотивированное суждение Менеджера проекта должно содержать следующую объективную информацию (по каждому Заявителю):</w:t>
      </w:r>
    </w:p>
    <w:p w14:paraId="1B72DB3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наименование Заявителя и ИНН Заявителя, согласно выписке из ЕГРЮЛ на дату подготовки мотивированного суждения,</w:t>
      </w:r>
    </w:p>
    <w:p w14:paraId="2050E47D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соответствии поданного в Фонд Заявления установленной форме согласно Приложению № 2 к настоящему Стандарту, </w:t>
      </w:r>
    </w:p>
    <w:p w14:paraId="5A5A4D86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соответствии всей информации, указанной в Заявлении, требованиям Основных условий региональной программы «Проекты импортозамещения региона», указанных в разделе 3 настоящего Стандарта,</w:t>
      </w:r>
    </w:p>
    <w:p w14:paraId="555CFDC5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соответствии Заявителя требованиям, предъявляемым к Заявителю, установленным разделом 4 настоящего Стандарта,</w:t>
      </w:r>
    </w:p>
    <w:p w14:paraId="6B806493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отсутствии в отношении Заявителя и/или его Проекта сведений и информации, представленной Заявителем в Фонд, либо иной информации, которая стала известна Фонду в отношении Заявителя и/или его Проекта в процессе экспертизы документов Заявителя, которая содержится в перечне ограничений для выплаты Компенсации, указанных в п. 5 настоящего Стандарта,</w:t>
      </w:r>
    </w:p>
    <w:p w14:paraId="379F5ED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Критические замечания в отношении Заявителя и/или Проекта (при наличии);</w:t>
      </w:r>
    </w:p>
    <w:p w14:paraId="7805B591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сумму Компенсации, рекомендуемую для утверждения Уполномоченным органом Фонда в целях предоставления Заявителю;</w:t>
      </w:r>
    </w:p>
    <w:p w14:paraId="0E13719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дату подготовки.</w:t>
      </w:r>
    </w:p>
    <w:p w14:paraId="1AFA6A48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8.9. Последовательность подготовки мотивированного суждения по отдельным направлениям экспертизы документов Заявителя определяется Менеджером проекта, с учетом необходимости проведения экспертизы документов в минимальные сроки. При необходимости Фонд за свой счет вправе привлекать внешних экспертов для проведения независимой экспертизы документов Заявителя.  </w:t>
      </w:r>
    </w:p>
    <w:p w14:paraId="13CC0242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8.10. Мотивированное суждение в форме реестра всех Заявителей и их Проектов, рассмотренных Фондом в ходе экспертизы документов, подписывается Менеджером проекта и представляется Директору Фонда, а также Уполномоченному сотруднику Фонда, для дальнейшего рассмотрения и принятия решения Уполномоченным органом (Наблюдательным советом) Фонда о предоставлении Компенсации/отказе в предоставлении Компенсации согласно настоящему Стандарту.</w:t>
      </w:r>
    </w:p>
    <w:p w14:paraId="147F5700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8.11. Уполномоченный сотрудник Фонда:</w:t>
      </w:r>
    </w:p>
    <w:p w14:paraId="7439573D" w14:textId="77777777" w:rsidR="00CD709C" w:rsidRDefault="000A3E07" w:rsidP="006950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8.11.1. В </w:t>
      </w:r>
      <w:r w:rsidR="00695047">
        <w:rPr>
          <w:rFonts w:ascii="Times New Roman" w:eastAsia="Times New Roman" w:hAnsi="Times New Roman" w:cs="Times New Roman"/>
          <w:sz w:val="28"/>
          <w:szCs w:val="28"/>
        </w:rPr>
        <w:t>срок не позднее 45 календарных дней, начиная с даты согласно п. 3.3.6. настоящего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D4C0DC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издает приказ за подписью Директора Фонда об окончании срока рассмотрения (экспертизы) Фондом документов Заявителей, требуемых для предоставления Компенсации, с приложением к приказу Мотивированного суждения Фонда, подготовленного Менеджером проекта в ходе экспертизы документов Заявителей согласно п. 8.10. настоящего Стандарта;</w:t>
      </w:r>
    </w:p>
    <w:p w14:paraId="3AF7A1F2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созыв заседания Уполномоченного органа (Наблюдательного совета) Фонда согласно Уставу Фонда, с включением в повестку дня данного заседания Наблюдательного совета Фонда вопроса “О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принятия решения о предоставлении Компенсации/отказе в предоставлении Компенсации согласно настоящего Стандарта” с соблюдением сроков проведения заседания Уполномоченного органа (Наблюдательного совета) Фонда, установленных п 8.11.2. настоящего Стандарта.</w:t>
      </w:r>
    </w:p>
    <w:p w14:paraId="490C9B94" w14:textId="77777777" w:rsidR="00B2697D" w:rsidRDefault="000A3E07" w:rsidP="00B269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8.11.2. </w:t>
      </w:r>
      <w:r w:rsidR="00B2697D">
        <w:rPr>
          <w:rFonts w:ascii="Times New Roman" w:eastAsia="Times New Roman" w:hAnsi="Times New Roman" w:cs="Times New Roman"/>
          <w:sz w:val="28"/>
          <w:szCs w:val="28"/>
        </w:rPr>
        <w:t>В срок не позднее 15 календарных дней после окончания экспертизы документов Заявителя согласно п. 3.3.7. настоящего Стандарта:</w:t>
      </w:r>
    </w:p>
    <w:p w14:paraId="03B94E5E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проведение заседания Уполномоченного органа (Наблюдательного совета) Фонда согласно Уставу Фонда, с представлением в рамках вопроса повестки дня данного заседания Наблюдательного совета Фонда “О принятии решения о предоставлении Компенсации/отказе в предоставлении Компенсации согласно настоящего Стандарта” результатов проведенной экспертизы документов всех Заявителей в виде Мотивированного суждения, подготовленного Менеджером проекта согласно п. 8.10. настоящего Стандарта;</w:t>
      </w:r>
    </w:p>
    <w:p w14:paraId="77001834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оформление принятого на заседании Уполномоченного органа (Наблюдательного совета) Фонда согласно Уставу Фонда, решения по вопросу повестки дня данного заседания Наблюдательного совета Фонда “О принятия решения о предоставлении Компенсации/отказе в предоставлении Компенсации согласно настоящему Стандарту”;</w:t>
      </w:r>
    </w:p>
    <w:p w14:paraId="59AD7B99" w14:textId="77777777" w:rsidR="00CD709C" w:rsidRDefault="000A3E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размещение на официальном интернет-сайте Фонда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http://frpirk.ru/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принятого Уполномоченным органом (Наблюдательным советом) Фонда решения о предоставлении Компенсации/отказе в предоставлении Компенсации согласно настоящему Стандарту”.</w:t>
      </w:r>
    </w:p>
    <w:p w14:paraId="6F6B8E65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2B587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Принятие решения о предоставлении Компенсации</w:t>
      </w:r>
    </w:p>
    <w:p w14:paraId="763AA0D4" w14:textId="77777777" w:rsidR="00CD709C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8EC56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Принятие решения о предоставлении Компенсации/отказе в предоставлении Компенсации относится к исключительной компетенции Уполномоченного органа Фонда. В целях настоящего Стандарта функции Уполномоченного органа Фонда выполняет Наблюдательный совет Фонда.</w:t>
      </w:r>
    </w:p>
    <w:p w14:paraId="1CCF7AE2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Порядок созыва, проведения заседания Наблюдательного совета и принятия решений Наблюдательным советом регламентируется Уставом Фонда.</w:t>
      </w:r>
    </w:p>
    <w:p w14:paraId="5EA9E932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Наблюдательный совет при рассмотрении вопроса “О предоставлении Компенсации/отказе в предоставлении Компенсации” вправе принять следующие решения:</w:t>
      </w:r>
    </w:p>
    <w:p w14:paraId="37640CBD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предоставлении Компенсации Заявителю;</w:t>
      </w:r>
    </w:p>
    <w:p w14:paraId="144985E1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отказе в предоставлении Компенсации Заявителю;</w:t>
      </w:r>
    </w:p>
    <w:p w14:paraId="63A1CCB2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отложении принятия решения о предоставлении Компенсации Заявителю до получения дополнительной информации/устранения выявленных недостатков.</w:t>
      </w:r>
    </w:p>
    <w:p w14:paraId="5136BF33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Критериями принятия решения Наблюдательным советом Фонда о предоставлении Компенсации/отказе в предоставлении Компенсации</w:t>
      </w:r>
      <w:r w:rsidR="00EE2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E2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EE2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="00EE25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3C51EF01" w14:textId="77777777" w:rsidR="00CD709C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наличие/отсутствие Критических замечаний в отношении Заявителя и/или Проекта;</w:t>
      </w:r>
    </w:p>
    <w:p w14:paraId="2E4ACD49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достаточность лимита бюджетных обязательств по соответствующей государственной программе “Поддержка промышленности Иркутской области”, действующего на дату принятия решения.</w:t>
      </w:r>
    </w:p>
    <w:p w14:paraId="06B22DC8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9.5. Наблюдательный совет, учитывая критерий “наличие/отсутствие Критических замечаний в отношении Заявителя и/или Проекта” согласно представленному Мотивированному суждению, принимает решение о предоставлении Компенсации/отказе в предоставлении Компенсации в следующем порядке:</w:t>
      </w:r>
    </w:p>
    <w:p w14:paraId="7C931756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предоставлении Компенсации - в случае отсутствия Критических замечаний в отношении Заявителя и/или Проекта;</w:t>
      </w:r>
    </w:p>
    <w:p w14:paraId="31F33B99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вправе принять решение как о предоставлении Компенсации, так и об отказе в предоставлении Компенсации - в случае, когда в отношении Заявителя и/или Проекта имеется не более одного Критического замечания;</w:t>
      </w:r>
    </w:p>
    <w:p w14:paraId="5B423213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об отказе в предоставлении Компенсации - в случае</w:t>
      </w:r>
      <w:r w:rsidR="00F467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в отношении Заявителя и/или Проекта имеется более одного Критического замечания.</w:t>
      </w:r>
    </w:p>
    <w:p w14:paraId="1587E669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9.6. Наблюдательный совет, учитывая критерий “достаточность лимита бюджетных обязательств”, принимает решение о предоставлении Компенсации/отказе в предоставлении Компенсации в следующем порядке:</w:t>
      </w:r>
    </w:p>
    <w:p w14:paraId="199F0604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предоставлении Компенсации в полном объеме по всем Проектам, одобренным согласно п. 9.5. настоящего Стандарта - в случае, когда сумма лимита бюджетных обязательств равна или превышают общую сумму Компенсации по всем Проектам, одобренным согласно п. 9.5. настоящего Стандарта;</w:t>
      </w:r>
    </w:p>
    <w:p w14:paraId="04B67FF4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предоставлении Компенсации по каждому Проекту в сумме, пропорциональной доле суммы лимита бюджетных обязательств в общей сумме Проектов, одобренных согласно п. 9.5. настоящего Стандарта - в случае, когда сумма лимитов бюджетных обязательств менее общей суммы Компенсации по всем Проектам, одобренным согласно п. 9.5. настоящего Стандарта.</w:t>
      </w:r>
    </w:p>
    <w:p w14:paraId="68576577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9.7. Наблюдательный совет вправе отложить принятие решения о предоставлении Компенсации в случаях, предусмотренных Уставом Фонда.</w:t>
      </w:r>
    </w:p>
    <w:p w14:paraId="7BDC7E6A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9.8. Решения, принятые Наблюдательным советом, могут сопровождаться отлагательными условиями. В данном случае Фонд предоставляет Компенсацию Заявителю только в случае полного и своевременного выполнения Заявителем отлагательных условий. В случае невыполнения Заявителем отлагательных условий Компенсация Фондом не предоставляется.</w:t>
      </w:r>
    </w:p>
    <w:p w14:paraId="54EA8FD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9.9. О принятом Наблюдательным советом решении о предоставлении Компенсации/отказе в предоставлении Компенсации Фонд информирует Заявителей путем размещения соответствующей информации на официальном сайте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http://frpirk.ru/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п. 8.11.2. настоящего Стандарта.</w:t>
      </w:r>
    </w:p>
    <w:p w14:paraId="459CCACD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CEDF2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Заключение соглашения о предоставлении Компенсации. </w:t>
      </w:r>
    </w:p>
    <w:p w14:paraId="0FE11DBB" w14:textId="77777777" w:rsidR="00CD709C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Выплата Компенсации.</w:t>
      </w:r>
    </w:p>
    <w:p w14:paraId="4A3E46FB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5DFED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Заключение Соглашения о предоставлении Компенсации, а также фактическая выплата Компенсации осуществляются Фондом в период согласно п. 3.3.8. настоящего Стандарта.</w:t>
      </w:r>
    </w:p>
    <w:p w14:paraId="77DC71A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Каждый Заявитель, в отношении которого принято решение о предоставлении Компенсации, в целях фактического получения Компенсации должен заключить с Фондом соответствующее Соглашение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Приложению 3 к настоящему Стандарту.</w:t>
      </w:r>
    </w:p>
    <w:p w14:paraId="5F00AC0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Заключение Соглашений о предоставлении Компенсации осуществляется Фондом с Заявителями согласно графику, утвержденному Фондом и размещенному на официальном сайте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http://frpirk.ru/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 Период заключения Фондом Соглашений о предоставлении Компенсаций - </w:t>
      </w:r>
      <w:r w:rsidR="00FE6AE6">
        <w:rPr>
          <w:rFonts w:ascii="Times New Roman" w:eastAsia="Times New Roman" w:hAnsi="Times New Roman" w:cs="Times New Roman"/>
          <w:sz w:val="28"/>
          <w:szCs w:val="28"/>
        </w:rPr>
        <w:t>в течение первых 25 календарных дней, начиная с даты согласно п. 3.3.8. настоящего Стандарта.</w:t>
      </w:r>
    </w:p>
    <w:p w14:paraId="37D41701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 Соглашение заключается Фондом только с тем Заявителем, в отношении которого принято положительное решение о предоставлении Компенсации, а также выполнены отлагательные условия ее предоставления (при их наличии). Соглашение с Фондом со стороны Заявителя должно быть подписано собственноручно, при наличии паспорта РФ, в присутствии Уполномоченного сотрудника Фонда, с соблюдением условий, указанных в п 10.6. настоящего Стандарта:</w:t>
      </w:r>
    </w:p>
    <w:p w14:paraId="5E835D60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лицом, действующим от имени Заявителя без доверенности согласно выписке из ЕГРЮЛ РФ на дату подписания Соглашения, либо;</w:t>
      </w:r>
    </w:p>
    <w:p w14:paraId="70A207CF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лицом, уполномоченным Заявителем на подписание Соглашения согласно доверенности, представленной в Фонд согласно п. 6.2. настоящего Стандарта, </w:t>
      </w:r>
    </w:p>
    <w:p w14:paraId="13128B89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Подготовка проекта Соглашения осуществляется Фондом. Данные о лицах, уполномоченных Заявителем на подписание Соглашения, а также о банковских реквизитах, необходимых для перечисления Компенсации, указываются Фондом в Соглашении согласно данным, представленным Заявителем на условиях пп. 6.1. и 6.2. настоящего Стандарта. </w:t>
      </w:r>
    </w:p>
    <w:p w14:paraId="497FB9A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 В случае, если к предполагаемой дате подписания Соглашения о предоставлении Компенсации у Заявителя изменились уполномоченные лица на подписание Соглашения и/или банковские реквизиты для выплаты Компенсации, Заявитель обязан в срок не позднее даты, предшествующей дате подписания Соглашения согласно установленному Фондом графику подписания Соглашений, представить в Фонд письмо за подписью лица, действующего от имени Заявителя без доверенности на дату представления письма, информацию с актуальными данными:</w:t>
      </w:r>
    </w:p>
    <w:p w14:paraId="4401D598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банковских реквизитов для выплаты Компенсации;</w:t>
      </w:r>
    </w:p>
    <w:p w14:paraId="156BFC37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персональных данных лица, уполномоченного от имени Заявителя на подписание Соглашения о предоставлении Компенсации, с приложением оригинала доверенности на данное лицо от имени Заявителя с правом подписания Соглашения о предоставлении Компенсации.</w:t>
      </w:r>
    </w:p>
    <w:p w14:paraId="6AB7953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10.7. При непредставлении Заявителем в Фонд информации с актуальными данными, необходимыми для заключения Соглашения о предоставлении Компенсации, в случаях и на условиях, предусмотренных в п. 10.6. настоящего Стандарта, Фонд вправе отказаться от заключения Соглашения о предоставлении Компенсации с Заявителем.</w:t>
      </w:r>
    </w:p>
    <w:p w14:paraId="1FE3FA2F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Выплата Компенсации осуществляется Фондом на основании Соглашения, заключенного с Заявителем в порядке, предусмотренном настоящим Стандартом, в </w:t>
      </w:r>
      <w:r w:rsidR="00B93EE5">
        <w:rPr>
          <w:rFonts w:ascii="Times New Roman" w:eastAsia="Times New Roman" w:hAnsi="Times New Roman" w:cs="Times New Roman"/>
          <w:sz w:val="28"/>
          <w:szCs w:val="28"/>
        </w:rPr>
        <w:t xml:space="preserve">течение 5 календарных дней после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B93EE5">
        <w:rPr>
          <w:rFonts w:ascii="Times New Roman" w:eastAsia="Times New Roman" w:hAnsi="Times New Roman" w:cs="Times New Roman"/>
          <w:sz w:val="28"/>
          <w:szCs w:val="28"/>
        </w:rPr>
        <w:t>а заключения Фондом Соглашений о предоставлении Компенсаций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93EE5">
        <w:rPr>
          <w:rFonts w:ascii="Times New Roman" w:eastAsia="Times New Roman" w:hAnsi="Times New Roman" w:cs="Times New Roman"/>
          <w:sz w:val="28"/>
          <w:szCs w:val="28"/>
        </w:rPr>
        <w:t>огласно п. 10.3. настоящего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Выплата Компенсации осуществляется путем перечисления Фондом суммы Компенсации на банковский счет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реквизитам, указанным в Соглашении. </w:t>
      </w:r>
    </w:p>
    <w:p w14:paraId="08018E15" w14:textId="77777777" w:rsidR="00CD709C" w:rsidRDefault="000A3E0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10.9. Выплата Компенсации Фондом не осуществляется, если Заявитель не заключил с Фондом Соглашение о предоставлении Компенсации по форме согласно Приложению 3 к настоящему Стандарту.</w:t>
      </w:r>
    </w:p>
    <w:p w14:paraId="3EB4672A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67E31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3DFAB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2849A3" w14:textId="77777777" w:rsidR="00CD709C" w:rsidRDefault="00CD70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DB3A1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Приложение №1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00F0EB" w14:textId="77777777" w:rsidR="00CD709C" w:rsidRPr="00802ECF" w:rsidRDefault="00CD709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74FE6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Стандарту Фонда </w:t>
      </w:r>
    </w:p>
    <w:p w14:paraId="7B30ECF0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«Условия и порядок отбора проектов </w:t>
      </w:r>
    </w:p>
    <w:p w14:paraId="1EFEB0D8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возмещения (компенсации) части затрат </w:t>
      </w:r>
    </w:p>
    <w:p w14:paraId="2BD31979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региональной программы </w:t>
      </w:r>
    </w:p>
    <w:p w14:paraId="5C8509FA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>«Проекты импортозамещения региона»</w:t>
      </w:r>
    </w:p>
    <w:p w14:paraId="76DC9F8C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1B500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Перечень отраслевых направлений, в рамках которых</w:t>
      </w:r>
    </w:p>
    <w:p w14:paraId="55E96D48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возможно получение Компенсации процентов по Кредитам</w:t>
      </w:r>
    </w:p>
    <w:p w14:paraId="77124A68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по региональной программе Фонда «Проекты импортозамещения региона»</w:t>
      </w:r>
    </w:p>
    <w:tbl>
      <w:tblPr>
        <w:tblStyle w:val="af2"/>
        <w:tblW w:w="10065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854"/>
        <w:gridCol w:w="2974"/>
        <w:gridCol w:w="6237"/>
      </w:tblGrid>
      <w:tr w:rsidR="00CD709C" w:rsidRPr="00802ECF" w14:paraId="44DFB4D3" w14:textId="77777777">
        <w:trPr>
          <w:trHeight w:val="180"/>
        </w:trPr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BD5D2A" w14:textId="77777777" w:rsidR="00CD709C" w:rsidRPr="00802ECF" w:rsidRDefault="00CD7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ABBE97" w14:textId="77777777" w:rsidR="00CD709C" w:rsidRPr="00802ECF" w:rsidRDefault="00CD7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BB98BE" w14:textId="77777777" w:rsidR="00CD709C" w:rsidRPr="00802ECF" w:rsidRDefault="00CD7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09C" w:rsidRPr="00802ECF" w14:paraId="50F706F7" w14:textId="77777777">
        <w:trPr>
          <w:trHeight w:val="565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8C99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B400A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Промышленное производство (ОКВЭД)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4755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Продукция</w:t>
            </w:r>
          </w:p>
        </w:tc>
      </w:tr>
      <w:tr w:rsidR="00CD709C" w:rsidRPr="00802ECF" w14:paraId="7BE6ED1E" w14:textId="77777777" w:rsidTr="00F11085">
        <w:trPr>
          <w:trHeight w:val="37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30294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C13B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C9A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09C" w:rsidRPr="00802ECF" w14:paraId="50BF8980" w14:textId="77777777">
        <w:trPr>
          <w:trHeight w:val="484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38A9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F898679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текстильных изделий (13)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96D6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Ковры и изделия ковровые </w:t>
            </w:r>
          </w:p>
        </w:tc>
      </w:tr>
      <w:tr w:rsidR="00CD709C" w:rsidRPr="00802ECF" w14:paraId="102727BE" w14:textId="77777777">
        <w:trPr>
          <w:trHeight w:val="438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AD3C8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D6B8928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93C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Ткани готовые </w:t>
            </w:r>
          </w:p>
        </w:tc>
      </w:tr>
      <w:tr w:rsidR="00CD709C" w:rsidRPr="00802ECF" w14:paraId="4CF4F5EE" w14:textId="77777777">
        <w:trPr>
          <w:trHeight w:val="38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4D75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3A46C8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3530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Белье нательное </w:t>
            </w:r>
          </w:p>
        </w:tc>
      </w:tr>
      <w:tr w:rsidR="00CD709C" w:rsidRPr="00802ECF" w14:paraId="7F5F5735" w14:textId="77777777">
        <w:trPr>
          <w:trHeight w:val="428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82C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F23F10B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2FF0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Изделия трикотажные чулочно-носочные </w:t>
            </w:r>
          </w:p>
        </w:tc>
      </w:tr>
      <w:tr w:rsidR="00CD709C" w:rsidRPr="00802ECF" w14:paraId="4136523A" w14:textId="77777777" w:rsidTr="00F11085">
        <w:trPr>
          <w:trHeight w:val="32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18305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068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кожи и изделий из кожи (15)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F76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CD709C" w:rsidRPr="00802ECF" w14:paraId="556671D9" w14:textId="77777777" w:rsidTr="00EF2BEB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D5CE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D27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бумаги и бумажных изделий (17)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17F1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CD709C" w:rsidRPr="00802ECF" w14:paraId="37F9524B" w14:textId="77777777" w:rsidTr="00EF2BEB">
        <w:trPr>
          <w:trHeight w:val="267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6467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AA3B4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6F38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Картон </w:t>
            </w:r>
          </w:p>
        </w:tc>
      </w:tr>
      <w:tr w:rsidR="00CD709C" w:rsidRPr="00802ECF" w14:paraId="73B770D8" w14:textId="77777777">
        <w:trPr>
          <w:trHeight w:val="76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6CF53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C9951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7D2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Обои и аналогичные материалы для оклеивания стен; бумага прозрачная для окон</w:t>
            </w:r>
          </w:p>
        </w:tc>
      </w:tr>
      <w:tr w:rsidR="00CD709C" w:rsidRPr="00802ECF" w14:paraId="5F30043B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0F31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ADDD4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B608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школьные </w:t>
            </w:r>
          </w:p>
        </w:tc>
      </w:tr>
      <w:tr w:rsidR="00CD709C" w:rsidRPr="00802ECF" w14:paraId="0849A1F9" w14:textId="77777777">
        <w:trPr>
          <w:trHeight w:val="829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F3588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58409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химических веществ и химических продуктов (20)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7411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лакокрасочные и аналогичные для нанесения покрытий, краски и мастики полиграфические </w:t>
            </w:r>
          </w:p>
        </w:tc>
      </w:tr>
      <w:tr w:rsidR="00CD709C" w:rsidRPr="00802ECF" w14:paraId="02486A77" w14:textId="77777777" w:rsidTr="00B52340">
        <w:trPr>
          <w:trHeight w:val="321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75E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39581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B6D99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Удобрения минеральные и химические </w:t>
            </w:r>
          </w:p>
        </w:tc>
      </w:tr>
      <w:tr w:rsidR="00CD709C" w:rsidRPr="00802ECF" w14:paraId="7B59AE9C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90F94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76B05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18FE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Удобрения калийные минеральные или химические</w:t>
            </w:r>
          </w:p>
        </w:tc>
      </w:tr>
      <w:tr w:rsidR="00CD709C" w:rsidRPr="00802ECF" w14:paraId="09FF776D" w14:textId="77777777">
        <w:trPr>
          <w:trHeight w:val="56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C8AE3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F5D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B141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Пасты чистящие, порошки и прочие чистящие средства </w:t>
            </w:r>
          </w:p>
        </w:tc>
      </w:tr>
      <w:tr w:rsidR="00CD709C" w:rsidRPr="00802ECF" w14:paraId="6B505A3D" w14:textId="77777777" w:rsidTr="00B52340">
        <w:trPr>
          <w:trHeight w:val="37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550BD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728B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1EE5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09C" w:rsidRPr="00802ECF" w14:paraId="42D46042" w14:textId="77777777" w:rsidTr="00747F36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A2CB94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689227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BBD48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 серная в моногидрате</w:t>
            </w:r>
          </w:p>
        </w:tc>
      </w:tr>
      <w:tr w:rsidR="00CD709C" w:rsidRPr="00802ECF" w14:paraId="5E77A000" w14:textId="77777777" w:rsidTr="00747F36">
        <w:trPr>
          <w:trHeight w:val="6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A66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6BDBA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5465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 и материалы, применяемые в медицинских целях</w:t>
            </w:r>
          </w:p>
        </w:tc>
      </w:tr>
      <w:tr w:rsidR="00CD709C" w:rsidRPr="00802ECF" w14:paraId="4CC89CE9" w14:textId="77777777" w:rsidTr="00747F36">
        <w:trPr>
          <w:trHeight w:val="25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FCD6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799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резиновых и пластмассовых изделий (22)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FD4F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изделия</w:t>
            </w:r>
          </w:p>
        </w:tc>
      </w:tr>
      <w:tr w:rsidR="00CD709C" w:rsidRPr="00802ECF" w14:paraId="166609F8" w14:textId="77777777" w:rsidTr="00747F36">
        <w:trPr>
          <w:trHeight w:val="25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6EF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6994E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246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пластмасс</w:t>
            </w:r>
          </w:p>
        </w:tc>
      </w:tr>
      <w:tr w:rsidR="00CD709C" w:rsidRPr="00802ECF" w14:paraId="590E291D" w14:textId="77777777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348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EDA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 (23)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7C145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Кирпичи огнеупорные</w:t>
            </w:r>
          </w:p>
        </w:tc>
      </w:tr>
      <w:tr w:rsidR="00CD709C" w:rsidRPr="00802ECF" w14:paraId="50DD2F00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C2E75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EE7B6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2D94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Конструкции и детали сборные железобетонные </w:t>
            </w:r>
          </w:p>
        </w:tc>
      </w:tr>
      <w:tr w:rsidR="00CD709C" w:rsidRPr="00802ECF" w14:paraId="3A529866" w14:textId="77777777">
        <w:trPr>
          <w:trHeight w:val="829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019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18F5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548B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пека и т.д.)</w:t>
            </w:r>
          </w:p>
        </w:tc>
      </w:tr>
      <w:tr w:rsidR="00CD709C" w:rsidRPr="00802ECF" w14:paraId="07527F2A" w14:textId="77777777">
        <w:trPr>
          <w:trHeight w:val="608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D62B1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C76A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2004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Плитки керамические глазурованные для внутренней облицовки стен </w:t>
            </w:r>
          </w:p>
        </w:tc>
      </w:tr>
      <w:tr w:rsidR="00CD709C" w:rsidRPr="00802ECF" w14:paraId="1613A433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5250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A7548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208A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санитарно-технические из керамики</w:t>
            </w:r>
          </w:p>
        </w:tc>
      </w:tr>
      <w:tr w:rsidR="00CD709C" w:rsidRPr="00802ECF" w14:paraId="1FB8F4BA" w14:textId="77777777">
        <w:trPr>
          <w:trHeight w:val="76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EF9B8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BC5F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48A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 листовое литое, прокатное, тянутое или выдувное, но не обработанное другим способом</w:t>
            </w:r>
          </w:p>
        </w:tc>
      </w:tr>
      <w:tr w:rsidR="00CD709C" w:rsidRPr="00802ECF" w14:paraId="2432756B" w14:textId="77777777" w:rsidTr="00F11085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1570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501D0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металлургическое (24)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3409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стальные</w:t>
            </w:r>
          </w:p>
        </w:tc>
      </w:tr>
      <w:tr w:rsidR="00CD709C" w:rsidRPr="00802ECF" w14:paraId="13FBD38F" w14:textId="77777777" w:rsidTr="00F11085">
        <w:trPr>
          <w:trHeight w:val="409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F4E0E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2542A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AA5F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готовый черных металлов</w:t>
            </w:r>
          </w:p>
        </w:tc>
      </w:tr>
      <w:tr w:rsidR="00CD709C" w:rsidRPr="00802ECF" w14:paraId="45064E8F" w14:textId="77777777">
        <w:trPr>
          <w:trHeight w:val="76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CEA5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648A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B86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плоский из железа или нелегированной стали шириной 600 мм или более, плакированный</w:t>
            </w:r>
          </w:p>
        </w:tc>
      </w:tr>
      <w:tr w:rsidR="00CD709C" w:rsidRPr="00802ECF" w14:paraId="040A51F8" w14:textId="77777777" w:rsidTr="00F11085">
        <w:trPr>
          <w:trHeight w:val="639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9E51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8C63F2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компьютеров, электронных и оптических изделий (26)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77B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Мониторы и проекторы, аппаратура приемная для телевизионной связи</w:t>
            </w:r>
          </w:p>
        </w:tc>
      </w:tr>
      <w:tr w:rsidR="00CD709C" w:rsidRPr="00802ECF" w14:paraId="4D1C2F70" w14:textId="77777777">
        <w:trPr>
          <w:trHeight w:val="638"/>
        </w:trPr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4A33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BE6355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9D20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Приборы и устройства, применяемые в медицине, хирургии, стоматологии или ветеринарии</w:t>
            </w:r>
          </w:p>
        </w:tc>
      </w:tr>
      <w:tr w:rsidR="00CD709C" w:rsidRPr="00802ECF" w14:paraId="13EDF8C5" w14:textId="77777777" w:rsidTr="00F11085">
        <w:trPr>
          <w:trHeight w:val="614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B90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BE7A3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электрического оборудования (27)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22FB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Кабели, провода и другие проводники, используемые для связи (с медной жилой)</w:t>
            </w:r>
          </w:p>
        </w:tc>
      </w:tr>
      <w:tr w:rsidR="00CD709C" w:rsidRPr="00802ECF" w14:paraId="004879DF" w14:textId="77777777">
        <w:trPr>
          <w:trHeight w:val="970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D5D4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F6F9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8B9B1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сортировки, грохочения, сепарации, промывки, измельчения, размалывания, смешивания или перемешивая грунта, камня, руд</w:t>
            </w:r>
          </w:p>
        </w:tc>
      </w:tr>
      <w:tr w:rsidR="00CD709C" w:rsidRPr="00802ECF" w14:paraId="3B9019D1" w14:textId="77777777">
        <w:trPr>
          <w:trHeight w:val="55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06D2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AA9F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649F4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Станки деревообрабатывающие </w:t>
            </w:r>
          </w:p>
        </w:tc>
      </w:tr>
      <w:tr w:rsidR="00CD709C" w:rsidRPr="00802ECF" w14:paraId="000CA29A" w14:textId="77777777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B2A4A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17A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30390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Станки металлорежущие </w:t>
            </w:r>
          </w:p>
        </w:tc>
      </w:tr>
      <w:tr w:rsidR="00CD709C" w:rsidRPr="00802ECF" w14:paraId="437B3CC2" w14:textId="77777777" w:rsidTr="00F11085">
        <w:trPr>
          <w:trHeight w:val="32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A803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87288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E7AD6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кузнечно-прессовые</w:t>
            </w:r>
          </w:p>
        </w:tc>
      </w:tr>
      <w:tr w:rsidR="00CD709C" w:rsidRPr="00802ECF" w14:paraId="6E737588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6C73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5D35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A61B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или механизмы для уборки с/х культур</w:t>
            </w:r>
          </w:p>
        </w:tc>
      </w:tr>
      <w:tr w:rsidR="00CD709C" w:rsidRPr="00802ECF" w14:paraId="22AA8A88" w14:textId="77777777" w:rsidTr="00F11085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0CA41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C1687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8F6A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Лифты </w:t>
            </w:r>
          </w:p>
        </w:tc>
      </w:tr>
      <w:tr w:rsidR="00CD709C" w:rsidRPr="00802ECF" w14:paraId="67B030C7" w14:textId="77777777">
        <w:trPr>
          <w:trHeight w:val="522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499E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ED7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EE6F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Насосы жидкостные</w:t>
            </w:r>
          </w:p>
        </w:tc>
      </w:tr>
      <w:tr w:rsidR="00CD709C" w:rsidRPr="00802ECF" w14:paraId="6BBC01F5" w14:textId="77777777">
        <w:trPr>
          <w:trHeight w:val="632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C3D53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97CB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FB35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воздушные или вакуумные, воздушные или газовые компрессоры </w:t>
            </w:r>
          </w:p>
        </w:tc>
      </w:tr>
      <w:tr w:rsidR="00CD709C" w:rsidRPr="00802ECF" w14:paraId="6BA9E413" w14:textId="77777777">
        <w:trPr>
          <w:trHeight w:val="510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40ED0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104F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3A33A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ручные пневматические, гидравлические</w:t>
            </w:r>
          </w:p>
        </w:tc>
      </w:tr>
      <w:tr w:rsidR="00CD709C" w:rsidRPr="00802ECF" w14:paraId="079FB0D7" w14:textId="77777777">
        <w:trPr>
          <w:trHeight w:val="510"/>
        </w:trPr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F9E57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701B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прочих транспортных средств и оборудования (30)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BA96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Холодильники и морозильники бытовые </w:t>
            </w:r>
          </w:p>
        </w:tc>
      </w:tr>
      <w:tr w:rsidR="00CD709C" w:rsidRPr="00802ECF" w14:paraId="247466FD" w14:textId="77777777" w:rsidTr="00F11085">
        <w:trPr>
          <w:trHeight w:val="457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CD5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8D5F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D5EA3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стиральные машины</w:t>
            </w:r>
          </w:p>
        </w:tc>
      </w:tr>
      <w:tr w:rsidR="00CD709C" w:rsidRPr="00802ECF" w14:paraId="1B1DD43E" w14:textId="77777777" w:rsidTr="00F11085">
        <w:trPr>
          <w:trHeight w:val="421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FAE3C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01B9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AEC74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Бытовые кухонные плиты </w:t>
            </w:r>
          </w:p>
        </w:tc>
      </w:tr>
      <w:tr w:rsidR="00CD709C" w:rsidRPr="00802ECF" w14:paraId="1CF782E4" w14:textId="77777777">
        <w:trPr>
          <w:trHeight w:val="843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4078B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24D9B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F6E5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Электроводонагреватели проточные и аккумулирующего типа и электрокипятильники погружные </w:t>
            </w:r>
          </w:p>
        </w:tc>
      </w:tr>
      <w:tr w:rsidR="00CD709C" w:rsidRPr="00802ECF" w14:paraId="240869F9" w14:textId="77777777">
        <w:trPr>
          <w:trHeight w:val="572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5142E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4211E" w14:textId="77777777" w:rsidR="00CD709C" w:rsidRPr="00802ECF" w:rsidRDefault="00CD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7822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Велосипеды двухколесные и прочие виды велосипедов без двигателя </w:t>
            </w:r>
          </w:p>
        </w:tc>
      </w:tr>
      <w:tr w:rsidR="00CD709C" w:rsidRPr="00802ECF" w14:paraId="4F5FF6E7" w14:textId="77777777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64314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5D5D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мебели (31)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27F71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офисов и предприятий торговли, кухонная мебель, матрасы, прочая мебель</w:t>
            </w:r>
          </w:p>
        </w:tc>
      </w:tr>
      <w:tr w:rsidR="00CD709C" w:rsidRPr="00802ECF" w14:paraId="22684B15" w14:textId="77777777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E87E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6E4D1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прочих готовых изделий (32)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504DC" w14:textId="77777777" w:rsidR="00CD709C" w:rsidRPr="00802ECF" w:rsidRDefault="000A3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EC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инструменты, спортивные товары, игры и игрушки, медицинские инструменты и оборудование, прочие готовые изделия</w:t>
            </w:r>
          </w:p>
        </w:tc>
      </w:tr>
    </w:tbl>
    <w:p w14:paraId="16153255" w14:textId="77777777" w:rsidR="00CD709C" w:rsidRPr="00802ECF" w:rsidRDefault="00CD7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3963" w:type="dxa"/>
        <w:tblInd w:w="5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3"/>
      </w:tblGrid>
      <w:tr w:rsidR="00CD709C" w:rsidRPr="00802ECF" w14:paraId="64027318" w14:textId="77777777">
        <w:tc>
          <w:tcPr>
            <w:tcW w:w="3963" w:type="dxa"/>
          </w:tcPr>
          <w:p w14:paraId="4638A837" w14:textId="77777777" w:rsidR="00CD709C" w:rsidRPr="00802ECF" w:rsidRDefault="00CD709C">
            <w:pPr>
              <w:spacing w:after="160"/>
              <w:rPr>
                <w:sz w:val="28"/>
                <w:szCs w:val="28"/>
              </w:rPr>
            </w:pPr>
          </w:p>
          <w:p w14:paraId="069A2ECF" w14:textId="77777777" w:rsidR="00802ECF" w:rsidRPr="00802ECF" w:rsidRDefault="00802ECF">
            <w:pPr>
              <w:spacing w:after="160"/>
              <w:rPr>
                <w:sz w:val="28"/>
                <w:szCs w:val="28"/>
              </w:rPr>
            </w:pPr>
          </w:p>
        </w:tc>
      </w:tr>
    </w:tbl>
    <w:p w14:paraId="4D064CE4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C09342" w14:textId="77777777" w:rsidR="00CD709C" w:rsidRPr="00802ECF" w:rsidRDefault="00CD709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E08F1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к Стандарту Фонда </w:t>
      </w:r>
    </w:p>
    <w:p w14:paraId="2C09E7B5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«Условия и порядок отбора проектов </w:t>
      </w:r>
    </w:p>
    <w:p w14:paraId="130AE2A6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возмещения (компенсации) части затрат </w:t>
      </w:r>
    </w:p>
    <w:p w14:paraId="23A5B041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региональной программы </w:t>
      </w:r>
    </w:p>
    <w:p w14:paraId="26677F10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>«Проекты импортозамещения региона»</w:t>
      </w:r>
    </w:p>
    <w:p w14:paraId="6B824D4B" w14:textId="77777777" w:rsidR="00CD709C" w:rsidRPr="00802ECF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C3734" w14:textId="77777777" w:rsidR="00CD709C" w:rsidRPr="00802ECF" w:rsidRDefault="000A3E07" w:rsidP="00AE503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Cs/>
          <w:sz w:val="28"/>
          <w:szCs w:val="28"/>
        </w:rPr>
        <w:t>Куда:</w:t>
      </w:r>
    </w:p>
    <w:p w14:paraId="1B3E6A3C" w14:textId="77777777" w:rsidR="00CD709C" w:rsidRPr="00802ECF" w:rsidRDefault="000A3E07">
      <w:pPr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в Фонд развития промышленности </w:t>
      </w:r>
    </w:p>
    <w:p w14:paraId="447E36F2" w14:textId="77777777" w:rsidR="00CD709C" w:rsidRPr="00802ECF" w:rsidRDefault="000A3E0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</w:p>
    <w:p w14:paraId="390EBB44" w14:textId="77777777" w:rsidR="00CD709C" w:rsidRPr="00802ECF" w:rsidRDefault="00CD70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2FDAB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103A340F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ВОЗМЕЩЕНИЯ (КОМПЕНСАЦИИ) ЧАСТИ ЗАТРАТ </w:t>
      </w:r>
    </w:p>
    <w:p w14:paraId="23EBDA00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В РАМКАХ РЕГИОНАЛЬНОЙ ПРОГРАММЫ</w:t>
      </w:r>
    </w:p>
    <w:p w14:paraId="2A16EE78" w14:textId="77777777" w:rsidR="00CD709C" w:rsidRPr="00802ECF" w:rsidRDefault="000A3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«ПРОЕКТЫ ИМПОРТОЗАМЕЩЕНИЯ РЕГИОНА»</w:t>
      </w:r>
    </w:p>
    <w:p w14:paraId="4CC73B79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16E8C" w14:textId="77777777" w:rsidR="00CD709C" w:rsidRPr="00802ECF" w:rsidRDefault="000A3E07" w:rsidP="00802EC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    Прошу предоставить возмещение (компенсацию) части затрат на  реализацию инвестиционного проекта по модернизации и развитию   промышленного предприятия  (далее  соответственно  -  возмещение, инвестиционный проект) в виде процентов по кредитам, полученным Заявителем в российских кредитных организациях , государственной     корпорации развития "ВЭБ.РФ".</w:t>
      </w:r>
    </w:p>
    <w:p w14:paraId="733A9F50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индивидуальном предпринимателе, юридическом лице, являющемся субъектом деятельности в сфере промышленности, зарегистрированном и осуществляющим деятельность на территории Иркутской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(далее - получатель):</w:t>
      </w:r>
    </w:p>
    <w:p w14:paraId="2AFEB195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1.Наименование получателя 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EF5BCD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(полное наименование)</w:t>
      </w:r>
    </w:p>
    <w:p w14:paraId="04A18392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2.Дата регистрации 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11F14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3.Банковские реквизиты, необходимые для перечисления Компенсации ____________________________________________________________________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20E18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4.Юридический адрес: 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F381AA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5.Почтовый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6E2274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(место нахождения)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___________________________________.</w:t>
      </w:r>
    </w:p>
    <w:p w14:paraId="7AC23384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6.Телефон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E2274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(_____)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 Факс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_________ E-mail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3F4A37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7.Руководитель</w:t>
      </w:r>
      <w:r w:rsidR="006E2274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(Ф.И.О.,телефон)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0ECBD1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8.Главный бухгалтер (Ф.И.О., телефон)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CADCE5E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9. Сведения о ранее полученных средствах из бюджета Иркутской области за последние 5 лет на основании иных нормативных правовых актов (перечислить наименования, год, сумму)</w:t>
      </w:r>
    </w:p>
    <w:p w14:paraId="22D2C3E4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B1D035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10.Наименование инвестиционного Проекта 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628D3494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26FBDD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11. Общая стоимость инвестиционного Проекта, 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992EEB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12. Общая стоимость Проекта, профинансированного за счет Кредитов (Кредита)  на конец Отчетного периода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9BAD9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13. Вид(ы) экономической деятельности (</w:t>
      </w:r>
      <w:hyperlink r:id="rId12">
        <w:r w:rsidRPr="00802ECF">
          <w:rPr>
            <w:rFonts w:ascii="Times New Roman" w:eastAsia="Times New Roman" w:hAnsi="Times New Roman" w:cs="Times New Roman"/>
            <w:sz w:val="28"/>
            <w:szCs w:val="28"/>
          </w:rPr>
          <w:t>ОКВЭД</w:t>
        </w:r>
      </w:hyperlink>
      <w:r w:rsidRPr="00802ECF">
        <w:rPr>
          <w:rFonts w:ascii="Times New Roman" w:eastAsia="Times New Roman" w:hAnsi="Times New Roman" w:cs="Times New Roman"/>
          <w:sz w:val="28"/>
          <w:szCs w:val="28"/>
        </w:rPr>
        <w:t>, наименование):___________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71E9A0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14. Наименование выпускаемой продукции в результате реализации проекта ____________________________________________________________________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1C9451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15. Объем выпуска готовой продукции:</w:t>
      </w:r>
    </w:p>
    <w:p w14:paraId="79729E32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15.1. за Отчетный период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14:paraId="3D2BDBE6" w14:textId="77777777" w:rsidR="00CD709C" w:rsidRPr="00802ECF" w:rsidRDefault="000A3E07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15.2. за календарный год, предшествующий Отчетному периоду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2E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569FEA95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16. Объем реализации готовой продукции:</w:t>
      </w:r>
    </w:p>
    <w:p w14:paraId="4FF742C6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98E4E" w14:textId="77777777" w:rsidR="00CD709C" w:rsidRPr="00802ECF" w:rsidRDefault="000A3E07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и за календарный год, предшествующий Отчетному периоду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652126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17. Средневзвешенная сумма задолженности по Кредитам (Кредиту) за Отчетный период, всего_____________________________________________________________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68B58E56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По Кредиту 1 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82269CA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По Кредиту 2 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_____________.</w:t>
      </w:r>
    </w:p>
    <w:p w14:paraId="7B41171D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18. Сумма уплаченных процентов по Кредитам (Кредиту) за Отчетный период, всего__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________________________________________________________.</w:t>
      </w:r>
    </w:p>
    <w:p w14:paraId="0B209E3D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7D633072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По Кредиту 1 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1467EA5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По Кредиту 2 _________________________________________________________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57C3F" w14:textId="77777777" w:rsidR="00CD709C" w:rsidRPr="00802ECF" w:rsidRDefault="000A3E07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19. Сумма уплаченных процентов по Кредитам (Кредиту) за Отчетный период, подлежащих компенсации согласно условиям Программы, всего ____________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2C63D6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заявлением Заявитель подтверждает:</w:t>
      </w:r>
    </w:p>
    <w:p w14:paraId="07FEF89D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-отсутствие  просроченной  задолженности  по возврату в областной бюджет субсидий,  бюджетных инвестиций, предоставленных в том числе в соответствии с  иными  правовыми  актами,  на первое число месяца, в котором представляются документы,  указанные  в  </w:t>
      </w:r>
      <w:hyperlink w:anchor="bookmark=id.gjdgxs">
        <w:r w:rsidRPr="00802ECF">
          <w:rPr>
            <w:rFonts w:ascii="Times New Roman" w:eastAsia="Times New Roman" w:hAnsi="Times New Roman" w:cs="Times New Roman"/>
            <w:sz w:val="28"/>
            <w:szCs w:val="28"/>
          </w:rPr>
          <w:t>пункте  6.</w:t>
        </w:r>
      </w:hyperlink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Стандарта Фонда развития промышленности Иркутской области: Условия и порядок  возмещения ( компенсации)  части затрат в рамках региональной программы «Проекты импортозамещения региона»(далее соответственно - документы, Положение)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9459DA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-отсутствие  факта  получения средств из областного бюджета на основании</w:t>
      </w:r>
      <w:r w:rsidRPr="00802EC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на цели, указанные в преамбуле настоящего стандарта, на первое число месяца, в котором представляются документы;</w:t>
      </w:r>
    </w:p>
    <w:p w14:paraId="6547F096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-отсутствие  просроченной  (неурегулированной) задолженности по денежным</w:t>
      </w:r>
      <w:r w:rsidRPr="00802EC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обязательствам  перед  Иркутской областью на первое число месяца, в котором</w:t>
      </w:r>
      <w:r w:rsidRPr="00802EC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представляются документы;</w:t>
      </w:r>
    </w:p>
    <w:p w14:paraId="13E59604" w14:textId="77777777" w:rsidR="00CD709C" w:rsidRPr="00802ECF" w:rsidRDefault="000A3E07" w:rsidP="00AE5035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- не нахождение в течение трех последних лет  в  процессе  реорганизации (за исключением реорганизации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форме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преобразования,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слияния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присоединения),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ликвидации,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>банкротства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на первое число месяца, в котором представляются документы.</w:t>
      </w:r>
    </w:p>
    <w:p w14:paraId="69B8E407" w14:textId="77777777" w:rsidR="00CD709C" w:rsidRPr="00802ECF" w:rsidRDefault="000A3E07" w:rsidP="00802E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>Настоящим заявлением гарантирую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сведений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документов, а также выражаю согласие:</w:t>
      </w:r>
    </w:p>
    <w:p w14:paraId="7510D2CE" w14:textId="77777777" w:rsidR="00AE5035" w:rsidRPr="00802ECF" w:rsidRDefault="000A3E07" w:rsidP="00802E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министерством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развития Иркутской области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>государственного финансового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законодательством порядке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проверок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получателем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условий,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субсидий;  </w:t>
      </w:r>
    </w:p>
    <w:p w14:paraId="2174291E" w14:textId="77777777" w:rsidR="00CD709C" w:rsidRPr="00802ECF" w:rsidRDefault="000A3E07" w:rsidP="00802E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>персональных данных в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802ECF" w:rsidRPr="00802ECF">
        <w:rPr>
          <w:rFonts w:ascii="Times New Roman" w:eastAsia="Times New Roman" w:hAnsi="Times New Roman" w:cs="Times New Roman"/>
          <w:sz w:val="28"/>
          <w:szCs w:val="28"/>
        </w:rPr>
        <w:t>с законодательством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005A162E" w14:textId="77777777" w:rsidR="00CD709C" w:rsidRPr="00802ECF" w:rsidRDefault="000A3E07" w:rsidP="00AE5035">
      <w:pPr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5035"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2ECF">
        <w:rPr>
          <w:rFonts w:ascii="Times New Roman" w:eastAsia="Times New Roman" w:hAnsi="Times New Roman" w:cs="Times New Roman"/>
          <w:sz w:val="28"/>
          <w:szCs w:val="28"/>
        </w:rPr>
        <w:t>К настоящему заявлению прилагаю документы, установленные Стандартом.</w:t>
      </w:r>
    </w:p>
    <w:p w14:paraId="1B11919E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C2901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"__" ___________ 20__ года ______________________/_______________</w:t>
      </w:r>
    </w:p>
    <w:p w14:paraId="498DBB9E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(подпись руководителя)  (расшифровка подписи)</w:t>
      </w:r>
    </w:p>
    <w:p w14:paraId="5D637556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95562" w14:textId="77777777" w:rsidR="00CD709C" w:rsidRPr="00802ECF" w:rsidRDefault="000A3E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EC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546D7514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1705D" w14:textId="77777777" w:rsidR="00CD709C" w:rsidRPr="00802ECF" w:rsidRDefault="00CD70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04912" w14:textId="77777777" w:rsidR="00CD709C" w:rsidRPr="00802ECF" w:rsidRDefault="00CD709C">
      <w:pPr>
        <w:widowControl/>
        <w:spacing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01499" w14:textId="77777777" w:rsidR="00CD709C" w:rsidRPr="00802ECF" w:rsidRDefault="00CD709C">
      <w:pPr>
        <w:rPr>
          <w:sz w:val="28"/>
          <w:szCs w:val="28"/>
        </w:rPr>
      </w:pPr>
    </w:p>
    <w:tbl>
      <w:tblPr>
        <w:tblStyle w:val="af4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665"/>
      </w:tblGrid>
      <w:tr w:rsidR="00CD709C" w:rsidRPr="00BF4989" w14:paraId="07ED38C5" w14:textId="77777777">
        <w:trPr>
          <w:trHeight w:val="29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2259" w14:textId="77777777" w:rsidR="00CD709C" w:rsidRDefault="00CD709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9856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35D336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F4B2C1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7A84F0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4A912D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B048B5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E22E07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CC080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1AF04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E3EEFD" w14:textId="77777777" w:rsidR="00BF4989" w:rsidRPr="00BF4989" w:rsidRDefault="00BF4989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44524" w14:textId="77777777" w:rsidR="00CD709C" w:rsidRPr="00BF4989" w:rsidRDefault="000A3E07" w:rsidP="00D05BA4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 к стандарту Фонда развития промышленности Иркутской области «Условия и порядок возмещения (компенсации) части затрат в рамках региональной программы «Проекты импортозамещения региона</w:t>
            </w:r>
            <w:r w:rsidRPr="00BF4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32A78401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BF4989">
        <w:rPr>
          <w:rFonts w:ascii="Times New Roman" w:eastAsia="Times New Roman" w:hAnsi="Times New Roman" w:cs="Times New Roman"/>
          <w:b/>
          <w:sz w:val="28"/>
          <w:szCs w:val="28"/>
        </w:rPr>
        <w:t>Соглашение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</w:t>
      </w:r>
    </w:p>
    <w:p w14:paraId="5F7FFB2B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Фондом развития промышленности Иркутской области возмещения (компенсации) части затрат   на реализацию инвестиционных проектов по уплате процентов  по кредитам.</w:t>
      </w:r>
    </w:p>
    <w:p w14:paraId="4BD39489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____________ 20_____ г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г. Иркутск</w:t>
      </w:r>
    </w:p>
    <w:p w14:paraId="0EF62589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Фонд развития промышленности Иркутской области( далее – Фонд),  в лице директора Шевченко Яны Алексеевны, действующей на основании Устава с одной стороны и_______________________ в лице ___________________действующего на основании _______________ именуемый в дальнейшем Заявитель, далее именуемые «Стороны», в соответствии со Стандартом Фонда развития промышленности Иркутской области «Условия и порядок отбора проектов в целях возмещения (компенсации) части  затрат,  в рамках региональной программы «Проекты импортозамещения региона» (далее – Стандарт) , утвержденный  Наблюдательным советом Фонда  ______ апреля 2020г.  пришли к соглашению о нижеследующем</w:t>
      </w:r>
    </w:p>
    <w:p w14:paraId="140AC37A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14:paraId="7BF9D677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1.1.Предметом настоящего Соглашения является Возмещение (компенсация) части затрат Заявителя  на реализацию инвестиционного  проекта  , ведущего  деятельность в отраслях и обеспечивающих выпуск продукции, указанной   Стандарте ( Приложение №1).</w:t>
      </w:r>
    </w:p>
    <w:p w14:paraId="3AA58772" w14:textId="77777777" w:rsidR="00CD709C" w:rsidRDefault="000A3E0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Период за который происходит (возмещение) компенсация расходов на уплату процентов по кредитам ( по кредиту) – истекший календарный год.</w:t>
      </w:r>
    </w:p>
    <w:p w14:paraId="7B49EFC3" w14:textId="77777777" w:rsidR="00CD709C" w:rsidRDefault="000A3E0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1.3.Сумма  (возмещения) компенсации по Кредитам составляет ____________________________________</w:t>
      </w:r>
      <w:r w:rsidR="00C16C4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sdt>
        <w:sdtPr>
          <w:tag w:val="goog_rdk_0"/>
          <w:id w:val="-913397697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____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5E7FF364" w14:textId="77777777" w:rsidR="00CD709C" w:rsidRDefault="000A3E0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A91E5D" w14:textId="77777777" w:rsidR="00CD709C" w:rsidRDefault="000A3E07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2. Заявитель   настоящим подтверждает следующие обстоятельства:</w:t>
      </w:r>
    </w:p>
    <w:p w14:paraId="0BFECA3A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Заявитель является юридическим лицом или индивидуальным предпринимателем, осуществляющим деятельность на территории Иркутской области, получение кредитов для которого не запрещено действующим законодательством или уставом заявителя;</w:t>
      </w:r>
    </w:p>
    <w:p w14:paraId="48A0D109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Выручка от реализации продукции Заявителя по отраслевым направлениям, указанным в Приложении №1 Стандарта, за Отчетный период составляет не менее 70% совокупной выручки Заявителя;</w:t>
      </w:r>
    </w:p>
    <w:p w14:paraId="5C80286D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Заявитель не является иностранным и российским юридическим лицом, указанным в пункте 15 статьи 241 Бюджетного кодекса Российской Федерации, на дату подачи Заявления;</w:t>
      </w:r>
    </w:p>
    <w:p w14:paraId="3B9BB57D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Заявитель имеет положительную кредитную историю;</w:t>
      </w:r>
    </w:p>
    <w:p w14:paraId="5F8E58B8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Заявитель не имеет просроченной задолженности перед работниками по заработной плате;  </w:t>
      </w:r>
    </w:p>
    <w:p w14:paraId="72EE82A7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Наличие информации о Заявителе и производимой им продукции в государственной информационной системе промышленности (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www.gisp.gov.ru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3172B84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Заявитель в течение 3 последних лет не находился в процессе реорганизации (за исключением реорганизации в форме преобразования, слияния или присоединения), ликвидации или банкротства;</w:t>
      </w:r>
    </w:p>
    <w:p w14:paraId="6AED41B0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подается Заявление, что подтверждается справкой из налогового органа;</w:t>
      </w:r>
    </w:p>
    <w:p w14:paraId="2AFDFBDE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подается Заявление;</w:t>
      </w:r>
    </w:p>
    <w:p w14:paraId="6CB44219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У Заявителя отсутствует просроченная (неурегулированная) задолженность по денежным обязательствам перед Иркутской областью на первое число месяца, в котором подается Заявление;</w:t>
      </w:r>
    </w:p>
    <w:p w14:paraId="5A5899BD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В отношении Заявителя отсутствует факт получения средств из областного бюджета на основании иных нормативных правовых актов на цели Программы на первое число месяца, в котором подается Заявление;</w:t>
      </w:r>
    </w:p>
    <w:p w14:paraId="140ECDCA" w14:textId="77777777" w:rsidR="00CD709C" w:rsidRDefault="000A3E07">
      <w:pPr>
        <w:spacing w:after="6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У Заявителя имеются необходимые лицензии для производства продукции, указанной в Проекте (в части видов продукции, для которых обязательно получение лицензии).</w:t>
      </w:r>
    </w:p>
    <w:p w14:paraId="16F987F7" w14:textId="77777777" w:rsidR="00CD709C" w:rsidRDefault="000A3E07">
      <w:pPr>
        <w:spacing w:before="22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Возмещение (компенсация) предоставляется Заявителю на следующих условиях:</w:t>
      </w:r>
    </w:p>
    <w:p w14:paraId="7DE1D070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06645A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реализация Заявителем на территории Иркутской области инвестиционного проекта, направленного на достижение показателей социально-экономического развития Иркутской области;</w:t>
      </w:r>
    </w:p>
    <w:p w14:paraId="1F44C0B7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срок реализации инвестиционного проекта не превышает трех лет до дня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Заявителем  Заявления на предоставление возмещения ( компенсации), указанных в пункте 6 настоящего Стандарта  (далее - документы);</w:t>
      </w:r>
    </w:p>
    <w:p w14:paraId="2BA1F52A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приобретение в рамках инвестиционного проекта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год выпуска которых должен быть не ранее трех лет, предшествующих году представления документов, и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 (далее - оборудование);</w:t>
      </w:r>
    </w:p>
    <w:p w14:paraId="7F470713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Заявитель представляет документы;</w:t>
      </w:r>
    </w:p>
    <w:p w14:paraId="62E7544B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документы;</w:t>
      </w:r>
    </w:p>
    <w:p w14:paraId="5F99ACC4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ненахождение Заявителя в процессе реорганизации, ликвидации, банкротства на первое число месяца, в котором Заявитель представляет документы;</w:t>
      </w:r>
    </w:p>
    <w:p w14:paraId="2585CE25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Заявитель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Заявитель представляет документы;</w:t>
      </w:r>
    </w:p>
    <w:p w14:paraId="19422D59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отсутствие факта получения средств из областного бюджета на основании иных нормативных правовых актов на цели, указанные в преамбуле настоящего стандарта  на первое число месяца, в котором Заявитель представляет документы;</w:t>
      </w:r>
    </w:p>
    <w:p w14:paraId="1AD262E3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наличие информации о Заявителе, а также производимой им продукции (карточки предприятия) в государственной информационной системе промышленности (www.gisp.gov.ru);</w:t>
      </w:r>
    </w:p>
    <w:p w14:paraId="142850BF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отсутствие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документы;</w:t>
      </w:r>
    </w:p>
    <w:p w14:paraId="69AE5E4A" w14:textId="77777777" w:rsidR="00CD709C" w:rsidRDefault="000A3E0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наличие согласия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субсидий, согласно приложения № 2 к Стандарту;</w:t>
      </w:r>
    </w:p>
    <w:p w14:paraId="616431D8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Финансовое обеспечение предоставления Компенсации</w:t>
      </w:r>
    </w:p>
    <w:p w14:paraId="5BD91A10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Программы:</w:t>
      </w:r>
    </w:p>
    <w:p w14:paraId="32C9B58D" w14:textId="77777777" w:rsidR="00CD709C" w:rsidRDefault="000A3E0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-возмещения (компенсации) из областного бюджета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доведенными лимитами в рамках Подпрограммы «Развитие промышленности в Иркутской области» на 2019-2024 годы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области 12 ноября 201 года № 828-пп, в случае принятия положительного решения по предоставлению дополнительного финансирования в рамках указанной подпрограммы в 2020 году.</w:t>
      </w:r>
    </w:p>
    <w:p w14:paraId="7F469E9C" w14:textId="77777777" w:rsidR="00CD709C" w:rsidRDefault="000A3E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Права и обязанности Сторон</w:t>
      </w:r>
    </w:p>
    <w:p w14:paraId="533FD64F" w14:textId="77777777" w:rsidR="00CD709C" w:rsidRDefault="000A3E0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5.1. Фонд обязуется:</w:t>
      </w:r>
    </w:p>
    <w:p w14:paraId="530D767B" w14:textId="77777777" w:rsidR="00CD709C" w:rsidRDefault="000A3E0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предоставление возмещения (компенсации) в соответствии с условиями настоящего Соглашения;</w:t>
      </w:r>
    </w:p>
    <w:p w14:paraId="46872819" w14:textId="77777777" w:rsidR="00CD709C" w:rsidRDefault="000A3E0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осуществить проверку представляемых документов подтверждающих соответствие Заявителя условиям, указанных в настоящем Соглашении, в том числе на соответствие их Стандарту Фонда «Условия и порядок отбора проектов  в целях возмещения (компенсации) части затрат, в рамках региональной программы  «Проекты импортозамещения региона»;</w:t>
      </w:r>
    </w:p>
    <w:p w14:paraId="4A1A11A3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-рассматривать предложения, документы и иную информацию, направленную Заявителем, в течении 10 рабочих дней со дня их получения, о чем уведомлять Заявителя  по электронной почте указанной в Заявлении.</w:t>
      </w:r>
    </w:p>
    <w:p w14:paraId="652369C9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перечисление Возмещения (компенсации) на счет Заявителя, в сроки установленные Стандартом.</w:t>
      </w:r>
    </w:p>
    <w:p w14:paraId="1A9E407A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Фонд имеет право: - в случае установления информации о факте(ах) нарушения Заявителем порядка, целей и условий предоставления Возмещения (компенсации), предусмотренных Стандартом, а также  предоставления Возмещения ( компенсации) и (или) настоящим Соглашением, в том числе указания в документах, представленных Заявителем недостоверных сведений, направлять Заявителю требование об обеспечении возврата Возмещения (компенсации) в областной бюджет в размере и в сроки, определенные в указанном требовании;</w:t>
      </w:r>
    </w:p>
    <w:p w14:paraId="441C56D8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Заявителем.</w:t>
      </w:r>
    </w:p>
    <w:p w14:paraId="0E3C8419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Возмещения (компенсации), установленных Стандартом, а также  предоставления Возмещения (компенсации) и настоящим Соглашением.</w:t>
      </w:r>
    </w:p>
    <w:p w14:paraId="42A46E93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Российской Федерации, условиями Программы и Стандарта.</w:t>
      </w:r>
    </w:p>
    <w:p w14:paraId="3932DFC9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Заявитель обязуется:</w:t>
      </w:r>
    </w:p>
    <w:p w14:paraId="6FBFE873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Фондом и органами государственного финансового контроля проверок соблюдения ими условий, целей и порядка предоставления Возмещения ( компенсации);</w:t>
      </w:r>
    </w:p>
    <w:p w14:paraId="30457A17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получения от Фонда требования в соответствии с абз. 1 п. пунктом 4.2. настоящего Соглашения возвращать в областной бюджет Возмещение ( компенсацию) в размере и в сроки, определенные в указанном требовании;</w:t>
      </w:r>
    </w:p>
    <w:p w14:paraId="74699700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обеспечивать полноту и достоверность сведений, представляемых в Фонд в соответствии с настоящим Соглашением.</w:t>
      </w:r>
    </w:p>
    <w:p w14:paraId="11D2C241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Заявитель вправе:</w:t>
      </w:r>
    </w:p>
    <w:p w14:paraId="5D72F6C7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направлять в Фонд предложения о внесении изменений в настоящее Соглашение в соответствии с  абз. 2 пункта 4.2 настоящего Соглашения;</w:t>
      </w:r>
    </w:p>
    <w:p w14:paraId="1E720EDB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обращаться в Фонд в целях получения разъяснений в связи с исполнением настоящего Соглашения;</w:t>
      </w:r>
    </w:p>
    <w:p w14:paraId="18B0A3E1" w14:textId="77777777" w:rsidR="00243161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Российской Федерации, условиями Программы и Стандарта.</w:t>
      </w:r>
      <w:r w:rsidR="002431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B8BAAAE" w14:textId="77777777" w:rsidR="00CD709C" w:rsidRDefault="000A3E07" w:rsidP="00C71B0C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 Ответственность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1FBB0A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45742B5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14:paraId="22A6C597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 споры между Сторонами решаются в судебном порядке.</w:t>
      </w:r>
    </w:p>
    <w:p w14:paraId="72F6EF4B" w14:textId="77777777" w:rsidR="00CD709C" w:rsidRDefault="000A3E07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6470E5B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Изменение настоящего Соглашения, в том числе в соответствии с положениями абз.2 пункта 5.2.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14:paraId="6EFE6125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 Расторжение настоящего Соглашения Фондом в одностороннем порядке возможно в случае:</w:t>
      </w:r>
    </w:p>
    <w:p w14:paraId="2FE1A91A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7.4.1. реорганизации или прекращения деятельности Заявителя;</w:t>
      </w:r>
    </w:p>
    <w:p w14:paraId="7F210A35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7.4.2. нарушения Заявителем порядка, целей и условий предоставления Возмещения (компенсации), установленных Стандартом предоставления Возмещения ( компенсации) и настоящим Соглашением;</w:t>
      </w:r>
    </w:p>
    <w:p w14:paraId="31918333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7.5.Документы и иная информация, предусмотренные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Соглашением, могут направляться Сторонами путем направления заказным письмом с уведомлением о вручении,  либо вручением представителем одной Стороны подлинников документов.</w:t>
      </w:r>
    </w:p>
    <w:p w14:paraId="3662FD64" w14:textId="77777777" w:rsidR="00CD709C" w:rsidRDefault="000A3E07" w:rsidP="00BF4989">
      <w:pPr>
        <w:spacing w:before="240" w:after="24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E9FB235" w14:textId="77777777" w:rsidR="00CD709C" w:rsidRDefault="000A3E07" w:rsidP="00C71B0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8. Платежные реквизиты Сторон</w:t>
      </w:r>
    </w:p>
    <w:tbl>
      <w:tblPr>
        <w:tblStyle w:val="af5"/>
        <w:tblW w:w="979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112"/>
        <w:gridCol w:w="4679"/>
      </w:tblGrid>
      <w:tr w:rsidR="00243161" w:rsidRPr="00243161" w14:paraId="73191B79" w14:textId="77777777" w:rsidTr="0043421E">
        <w:trPr>
          <w:trHeight w:val="6626"/>
        </w:trPr>
        <w:tc>
          <w:tcPr>
            <w:tcW w:w="511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845CAB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33E3D58D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6845C5C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ED822F7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C24D00" w14:textId="77777777" w:rsidR="00243161" w:rsidRDefault="00243161" w:rsidP="00AE503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10C8B9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промышленности Иркутской области</w:t>
            </w:r>
          </w:p>
          <w:p w14:paraId="17F1453D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1173850008353</w:t>
            </w:r>
          </w:p>
          <w:p w14:paraId="1DF9FB72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25701000</w:t>
            </w:r>
          </w:p>
          <w:p w14:paraId="1A30066E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 664025,                       г. Иркутск, ул. Свердлова 10, оф. 8</w:t>
            </w:r>
          </w:p>
          <w:p w14:paraId="3F735E69" w14:textId="77777777" w:rsidR="00243161" w:rsidRDefault="00243161" w:rsidP="00DA048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3808198710/380801001</w:t>
            </w:r>
          </w:p>
          <w:p w14:paraId="47F9C1AE" w14:textId="77777777" w:rsidR="00243161" w:rsidRDefault="00243161" w:rsidP="00DA048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Платежные реквизиты: </w:t>
            </w:r>
          </w:p>
          <w:p w14:paraId="5387FA64" w14:textId="77777777" w:rsidR="00243161" w:rsidRDefault="00243161" w:rsidP="00DA048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Минфин Иркутской области (Фонд развития промышленности Иркутской области, л/с 83105100005) р/с 40601810850041002000</w:t>
            </w:r>
          </w:p>
          <w:p w14:paraId="229DA16D" w14:textId="77777777" w:rsidR="00243161" w:rsidRDefault="00243161" w:rsidP="00DA048B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14:paraId="144696EF" w14:textId="77777777" w:rsidR="00243161" w:rsidRDefault="00243161" w:rsidP="00AE503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 042520001</w:t>
            </w:r>
          </w:p>
        </w:tc>
      </w:tr>
    </w:tbl>
    <w:tbl>
      <w:tblPr>
        <w:tblStyle w:val="af6"/>
        <w:tblW w:w="102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63"/>
        <w:gridCol w:w="2866"/>
        <w:gridCol w:w="2405"/>
        <w:gridCol w:w="2304"/>
      </w:tblGrid>
      <w:tr w:rsidR="00CD709C" w:rsidRPr="00243161" w14:paraId="735A1355" w14:textId="77777777" w:rsidTr="00BF4989">
        <w:trPr>
          <w:trHeight w:val="141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53FEA31" w14:textId="77777777" w:rsidR="00CD709C" w:rsidRPr="0043421E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F4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34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E07" w:rsidRPr="00434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Подписи</w:t>
            </w:r>
            <w:r w:rsidRPr="00434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сторон</w:t>
            </w:r>
          </w:p>
          <w:p w14:paraId="20082FBF" w14:textId="77777777" w:rsidR="00243161" w:rsidRPr="00243161" w:rsidRDefault="00243161" w:rsidP="002431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1C72F9" w14:textId="77777777" w:rsidR="00243161" w:rsidRDefault="002431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73AA53" w14:textId="77777777" w:rsidR="00CD709C" w:rsidRDefault="000A3E07" w:rsidP="00243161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 развития промышленности Иркутской области </w:t>
            </w:r>
          </w:p>
        </w:tc>
      </w:tr>
      <w:tr w:rsidR="00CD709C" w:rsidRPr="00243161" w14:paraId="24514AFD" w14:textId="77777777" w:rsidTr="00BF4989">
        <w:trPr>
          <w:trHeight w:val="51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A49445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_________________/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D90698" w14:textId="77777777" w:rsidR="00CD709C" w:rsidRDefault="000A3E07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DE9B6E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_______________/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FDBD3A" w14:textId="77777777" w:rsidR="00CD709C" w:rsidRDefault="000A3E07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</w:t>
            </w:r>
            <w:r w:rsidR="00BF4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CD709C" w:rsidRPr="00243161" w14:paraId="2B0E9EE6" w14:textId="77777777" w:rsidTr="00BF4989">
        <w:trPr>
          <w:trHeight w:val="42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69B7C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7BA24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2CC59B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A58C92" w14:textId="77777777" w:rsidR="00CD709C" w:rsidRDefault="000A3E0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AF29992" w14:textId="77777777" w:rsidR="00CD709C" w:rsidRDefault="000A3E0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2638">
        <w:rPr>
          <w:rFonts w:ascii="Times New Roman" w:eastAsia="Times New Roman" w:hAnsi="Times New Roman" w:cs="Times New Roman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498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77FA62D5" w14:textId="77777777" w:rsidR="00CD709C" w:rsidRDefault="000A3E0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AE7BB0" w14:textId="77777777" w:rsidR="00CD709C" w:rsidRDefault="000A3E0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CC07F2" w14:textId="77777777" w:rsidR="00CD709C" w:rsidRDefault="000A3E0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D709C" w:rsidSect="00A82638">
      <w:footerReference w:type="default" r:id="rId14"/>
      <w:pgSz w:w="11900" w:h="16840"/>
      <w:pgMar w:top="567" w:right="843" w:bottom="568" w:left="1276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77BB" w14:textId="77777777" w:rsidR="00FC6978" w:rsidRDefault="00FC6978">
      <w:r>
        <w:separator/>
      </w:r>
    </w:p>
  </w:endnote>
  <w:endnote w:type="continuationSeparator" w:id="0">
    <w:p w14:paraId="33098D17" w14:textId="77777777" w:rsidR="00FC6978" w:rsidRDefault="00FC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308699"/>
      <w:docPartObj>
        <w:docPartGallery w:val="Page Numbers (Bottom of Page)"/>
        <w:docPartUnique/>
      </w:docPartObj>
    </w:sdtPr>
    <w:sdtEndPr/>
    <w:sdtContent>
      <w:p w14:paraId="4FD34C03" w14:textId="77777777" w:rsidR="00FC6978" w:rsidRDefault="00FC697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817F118" w14:textId="77777777" w:rsidR="00FC6978" w:rsidRDefault="00FC697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9B36" w14:textId="77777777" w:rsidR="00FC6978" w:rsidRDefault="00FC6978">
      <w:r>
        <w:separator/>
      </w:r>
    </w:p>
  </w:footnote>
  <w:footnote w:type="continuationSeparator" w:id="0">
    <w:p w14:paraId="37F18ECC" w14:textId="77777777" w:rsidR="00FC6978" w:rsidRDefault="00FC6978">
      <w:r>
        <w:continuationSeparator/>
      </w:r>
    </w:p>
  </w:footnote>
  <w:footnote w:id="1">
    <w:p w14:paraId="6849BE38" w14:textId="77777777" w:rsidR="00FC6978" w:rsidRDefault="00FC69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Согласно актуальному перечню банков, утвержденному ФРП на дату подачи заявления на компенсацию процентов по кредитам, гарантии которых могут быть рассмотрены в качестве основного обеспечения по заключаемым договорам займа ФРП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9C"/>
    <w:rsid w:val="00074E78"/>
    <w:rsid w:val="000A3E07"/>
    <w:rsid w:val="00100C45"/>
    <w:rsid w:val="00181A3E"/>
    <w:rsid w:val="00187F95"/>
    <w:rsid w:val="00243161"/>
    <w:rsid w:val="0028382B"/>
    <w:rsid w:val="002A0644"/>
    <w:rsid w:val="002E674E"/>
    <w:rsid w:val="0043421E"/>
    <w:rsid w:val="004B3C40"/>
    <w:rsid w:val="004B64FC"/>
    <w:rsid w:val="0064392F"/>
    <w:rsid w:val="00662621"/>
    <w:rsid w:val="0068024C"/>
    <w:rsid w:val="00695047"/>
    <w:rsid w:val="006E2274"/>
    <w:rsid w:val="00713D2D"/>
    <w:rsid w:val="00747F36"/>
    <w:rsid w:val="00796172"/>
    <w:rsid w:val="00802ECF"/>
    <w:rsid w:val="00861A77"/>
    <w:rsid w:val="008767C4"/>
    <w:rsid w:val="008C4B8C"/>
    <w:rsid w:val="00971269"/>
    <w:rsid w:val="00A33DDA"/>
    <w:rsid w:val="00A82638"/>
    <w:rsid w:val="00AA3A02"/>
    <w:rsid w:val="00AD75ED"/>
    <w:rsid w:val="00AE5035"/>
    <w:rsid w:val="00B2697D"/>
    <w:rsid w:val="00B52340"/>
    <w:rsid w:val="00B93EE5"/>
    <w:rsid w:val="00BA17B2"/>
    <w:rsid w:val="00BF4989"/>
    <w:rsid w:val="00C16C47"/>
    <w:rsid w:val="00C71B0C"/>
    <w:rsid w:val="00CD709C"/>
    <w:rsid w:val="00CE5055"/>
    <w:rsid w:val="00D05BA4"/>
    <w:rsid w:val="00DA048B"/>
    <w:rsid w:val="00DD09CD"/>
    <w:rsid w:val="00DD23ED"/>
    <w:rsid w:val="00E26F92"/>
    <w:rsid w:val="00E7617E"/>
    <w:rsid w:val="00E848DF"/>
    <w:rsid w:val="00EE2599"/>
    <w:rsid w:val="00EF2BEB"/>
    <w:rsid w:val="00F11085"/>
    <w:rsid w:val="00F46723"/>
    <w:rsid w:val="00F83BA9"/>
    <w:rsid w:val="00F85470"/>
    <w:rsid w:val="00FC6978"/>
    <w:rsid w:val="00FE0FC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6CFB1"/>
  <w15:docId w15:val="{A469028D-2056-4D8E-B534-65BF53B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78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4B26"/>
    <w:rPr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pirk.ru" TargetMode="External"/><Relationship Id="rId13" Type="http://schemas.openxmlformats.org/officeDocument/2006/relationships/hyperlink" Target="http://www.gisp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pir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rpi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pir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Абрахимов М.А.</dc:creator>
  <cp:lastModifiedBy>Алина Тресвятская</cp:lastModifiedBy>
  <cp:revision>57</cp:revision>
  <cp:lastPrinted>2020-05-21T03:52:00Z</cp:lastPrinted>
  <dcterms:created xsi:type="dcterms:W3CDTF">2020-04-07T03:04:00Z</dcterms:created>
  <dcterms:modified xsi:type="dcterms:W3CDTF">2020-05-27T04:38:00Z</dcterms:modified>
</cp:coreProperties>
</file>